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A6BB8">
      <w:pPr>
        <w:rPr>
          <w:rFonts w:ascii="Times New Roman" w:hAnsi="Times New Roman" w:eastAsia="宋体" w:cs="Times New Roman"/>
          <w:sz w:val="36"/>
          <w:szCs w:val="36"/>
        </w:rPr>
      </w:pPr>
    </w:p>
    <w:p w14:paraId="55BE6989">
      <w:pPr>
        <w:spacing w:line="360" w:lineRule="auto"/>
        <w:jc w:val="center"/>
        <w:rPr>
          <w:rFonts w:hint="eastAsia" w:ascii="Times New Roman" w:hAnsi="Times New Roman" w:eastAsia="宋体" w:cs="Times New Roman"/>
          <w:b/>
          <w:bCs/>
          <w:sz w:val="44"/>
          <w:szCs w:val="44"/>
          <w:lang w:val="en-US" w:eastAsia="zh-CN"/>
        </w:rPr>
      </w:pPr>
    </w:p>
    <w:p w14:paraId="4DA87B8A">
      <w:pPr>
        <w:spacing w:line="360" w:lineRule="auto"/>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val="en-US" w:eastAsia="zh-CN"/>
        </w:rPr>
        <w:t>山东瑞盟生物科技有限公司</w:t>
      </w:r>
    </w:p>
    <w:p w14:paraId="793DF54A">
      <w:pPr>
        <w:spacing w:line="360" w:lineRule="auto"/>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val="en-US" w:eastAsia="zh-CN"/>
        </w:rPr>
        <w:t>年产20000吨食品添加剂项目（一期）</w:t>
      </w:r>
    </w:p>
    <w:p w14:paraId="6C56148B">
      <w:pPr>
        <w:spacing w:line="360" w:lineRule="auto"/>
        <w:jc w:val="center"/>
        <w:rPr>
          <w:rFonts w:hint="eastAsia" w:ascii="Times New Roman" w:hAnsi="Times New Roman" w:eastAsia="宋体" w:cs="Times New Roman"/>
          <w:b/>
          <w:bCs/>
          <w:sz w:val="44"/>
          <w:szCs w:val="44"/>
          <w:lang w:eastAsia="zh-CN"/>
        </w:rPr>
      </w:pPr>
      <w:r>
        <w:rPr>
          <w:rFonts w:ascii="Times New Roman" w:hAnsi="Times New Roman" w:eastAsia="宋体" w:cs="Times New Roman"/>
          <w:b/>
          <w:bCs/>
          <w:sz w:val="44"/>
          <w:szCs w:val="44"/>
        </w:rPr>
        <w:t>竣工环境保护验收报告</w:t>
      </w:r>
    </w:p>
    <w:p w14:paraId="28016E52">
      <w:pPr>
        <w:rPr>
          <w:rFonts w:ascii="Times New Roman" w:hAnsi="Times New Roman" w:eastAsia="宋体" w:cs="Times New Roman"/>
        </w:rPr>
      </w:pPr>
    </w:p>
    <w:p w14:paraId="3D144E2A">
      <w:pPr>
        <w:rPr>
          <w:rFonts w:ascii="Times New Roman" w:hAnsi="Times New Roman" w:eastAsia="宋体" w:cs="Times New Roman"/>
        </w:rPr>
      </w:pPr>
    </w:p>
    <w:p w14:paraId="008556DE">
      <w:pPr>
        <w:pStyle w:val="13"/>
        <w:rPr>
          <w:rFonts w:ascii="Times New Roman" w:hAnsi="Times New Roman" w:eastAsia="宋体" w:cs="Times New Roman"/>
        </w:rPr>
      </w:pPr>
    </w:p>
    <w:p w14:paraId="176120AD">
      <w:pPr>
        <w:pStyle w:val="16"/>
        <w:widowControl w:val="0"/>
        <w:numPr>
          <w:ilvl w:val="0"/>
          <w:numId w:val="0"/>
        </w:numPr>
        <w:jc w:val="both"/>
      </w:pPr>
    </w:p>
    <w:p w14:paraId="56987B8C">
      <w:pPr>
        <w:rPr>
          <w:rFonts w:ascii="Times New Roman" w:hAnsi="Times New Roman" w:eastAsia="宋体" w:cs="Times New Roman"/>
        </w:rPr>
      </w:pPr>
    </w:p>
    <w:p w14:paraId="4CDEEF17">
      <w:pPr>
        <w:pStyle w:val="13"/>
        <w:rPr>
          <w:rFonts w:ascii="Times New Roman" w:hAnsi="Times New Roman" w:eastAsia="宋体" w:cs="Times New Roman"/>
        </w:rPr>
      </w:pPr>
    </w:p>
    <w:p w14:paraId="600C74CB">
      <w:pPr>
        <w:pStyle w:val="16"/>
        <w:widowControl w:val="0"/>
        <w:numPr>
          <w:ilvl w:val="0"/>
          <w:numId w:val="0"/>
        </w:numPr>
        <w:jc w:val="both"/>
        <w:rPr>
          <w:rFonts w:ascii="Times New Roman" w:hAnsi="Times New Roman" w:eastAsia="宋体" w:cs="Times New Roman"/>
        </w:rPr>
      </w:pPr>
    </w:p>
    <w:p w14:paraId="129FBD56">
      <w:pPr>
        <w:pStyle w:val="16"/>
        <w:widowControl w:val="0"/>
        <w:numPr>
          <w:ilvl w:val="0"/>
          <w:numId w:val="0"/>
        </w:numPr>
        <w:jc w:val="both"/>
        <w:rPr>
          <w:rFonts w:ascii="Times New Roman" w:hAnsi="Times New Roman" w:eastAsia="宋体" w:cs="Times New Roman"/>
        </w:rPr>
      </w:pPr>
    </w:p>
    <w:p w14:paraId="72FC71A8">
      <w:pPr>
        <w:pStyle w:val="16"/>
        <w:widowControl w:val="0"/>
        <w:numPr>
          <w:ilvl w:val="0"/>
          <w:numId w:val="0"/>
        </w:numPr>
        <w:jc w:val="both"/>
        <w:rPr>
          <w:rFonts w:ascii="Times New Roman" w:hAnsi="Times New Roman" w:eastAsia="宋体" w:cs="Times New Roman"/>
        </w:rPr>
      </w:pPr>
    </w:p>
    <w:p w14:paraId="0DDB8AF7">
      <w:pPr>
        <w:pStyle w:val="16"/>
        <w:widowControl w:val="0"/>
        <w:numPr>
          <w:ilvl w:val="0"/>
          <w:numId w:val="0"/>
        </w:numPr>
        <w:jc w:val="both"/>
        <w:rPr>
          <w:rFonts w:ascii="Times New Roman" w:hAnsi="Times New Roman" w:eastAsia="宋体" w:cs="Times New Roman"/>
        </w:rPr>
      </w:pPr>
    </w:p>
    <w:p w14:paraId="59771C3E">
      <w:pPr>
        <w:pStyle w:val="16"/>
        <w:widowControl w:val="0"/>
        <w:numPr>
          <w:ilvl w:val="0"/>
          <w:numId w:val="0"/>
        </w:numPr>
        <w:jc w:val="both"/>
        <w:rPr>
          <w:rFonts w:ascii="Times New Roman" w:hAnsi="Times New Roman" w:eastAsia="宋体" w:cs="Times New Roman"/>
        </w:rPr>
      </w:pPr>
    </w:p>
    <w:p w14:paraId="1E1E182C">
      <w:pPr>
        <w:rPr>
          <w:rFonts w:ascii="Times New Roman" w:hAnsi="Times New Roman" w:eastAsia="宋体" w:cs="Times New Roman"/>
        </w:rPr>
      </w:pPr>
    </w:p>
    <w:p w14:paraId="148855F4">
      <w:pPr>
        <w:rPr>
          <w:rFonts w:ascii="Times New Roman" w:hAnsi="Times New Roman" w:eastAsia="宋体" w:cs="Times New Roman"/>
        </w:rPr>
      </w:pPr>
    </w:p>
    <w:p w14:paraId="1AC13125">
      <w:pPr>
        <w:rPr>
          <w:rFonts w:ascii="Times New Roman" w:hAnsi="Times New Roman" w:eastAsia="宋体" w:cs="Times New Roman"/>
        </w:rPr>
      </w:pPr>
    </w:p>
    <w:p w14:paraId="336E99C9">
      <w:pPr>
        <w:rPr>
          <w:rFonts w:ascii="Times New Roman" w:hAnsi="Times New Roman" w:eastAsia="宋体" w:cs="Times New Roman"/>
        </w:rPr>
      </w:pPr>
    </w:p>
    <w:p w14:paraId="5778E0B8">
      <w:pPr>
        <w:rPr>
          <w:rFonts w:ascii="Times New Roman" w:hAnsi="Times New Roman" w:eastAsia="宋体" w:cs="Times New Roman"/>
        </w:rPr>
      </w:pPr>
    </w:p>
    <w:p w14:paraId="0491D8E9">
      <w:pPr>
        <w:rPr>
          <w:rFonts w:ascii="Times New Roman" w:hAnsi="Times New Roman" w:eastAsia="宋体" w:cs="Times New Roman"/>
        </w:rPr>
      </w:pPr>
    </w:p>
    <w:p w14:paraId="5748479A">
      <w:pPr>
        <w:rPr>
          <w:rFonts w:ascii="Times New Roman" w:hAnsi="Times New Roman" w:eastAsia="宋体" w:cs="Times New Roman"/>
        </w:rPr>
      </w:pPr>
    </w:p>
    <w:p w14:paraId="4AED18D8">
      <w:pPr>
        <w:rPr>
          <w:rFonts w:ascii="Times New Roman" w:hAnsi="Times New Roman" w:eastAsia="宋体" w:cs="Times New Roman"/>
        </w:rPr>
      </w:pPr>
    </w:p>
    <w:p w14:paraId="3D3F1456">
      <w:pPr>
        <w:rPr>
          <w:rFonts w:ascii="Times New Roman" w:hAnsi="Times New Roman" w:eastAsia="宋体" w:cs="Times New Roman"/>
        </w:rPr>
      </w:pPr>
    </w:p>
    <w:p w14:paraId="152505D7">
      <w:pPr>
        <w:rPr>
          <w:rFonts w:ascii="Times New Roman" w:hAnsi="Times New Roman" w:eastAsia="宋体" w:cs="Times New Roman"/>
        </w:rPr>
      </w:pPr>
    </w:p>
    <w:p w14:paraId="58F98555">
      <w:pPr>
        <w:rPr>
          <w:rFonts w:ascii="Times New Roman" w:hAnsi="Times New Roman" w:eastAsia="宋体" w:cs="Times New Roman"/>
        </w:rPr>
      </w:pPr>
    </w:p>
    <w:p w14:paraId="7361741D">
      <w:pPr>
        <w:rPr>
          <w:rFonts w:ascii="Times New Roman" w:hAnsi="Times New Roman" w:eastAsia="宋体" w:cs="Times New Roman"/>
        </w:rPr>
      </w:pPr>
    </w:p>
    <w:p w14:paraId="548ACD0F">
      <w:pPr>
        <w:rPr>
          <w:rFonts w:ascii="Times New Roman" w:hAnsi="Times New Roman" w:eastAsia="宋体" w:cs="Times New Roman"/>
        </w:rPr>
      </w:pPr>
    </w:p>
    <w:p w14:paraId="71C0A2D7">
      <w:pPr>
        <w:pStyle w:val="2"/>
      </w:pPr>
    </w:p>
    <w:p w14:paraId="0E71AA52">
      <w:pPr>
        <w:pStyle w:val="16"/>
        <w:widowControl w:val="0"/>
        <w:numPr>
          <w:ilvl w:val="0"/>
          <w:numId w:val="0"/>
        </w:numPr>
        <w:jc w:val="both"/>
      </w:pPr>
    </w:p>
    <w:p w14:paraId="309759E3">
      <w:pPr>
        <w:spacing w:line="600" w:lineRule="auto"/>
        <w:jc w:val="center"/>
        <w:rPr>
          <w:rFonts w:hint="eastAsia" w:ascii="Times New Roman" w:hAnsi="Times New Roman" w:eastAsia="宋体" w:cs="Times New Roman"/>
          <w:b/>
          <w:bCs/>
          <w:sz w:val="32"/>
          <w:szCs w:val="32"/>
          <w:u w:val="single"/>
          <w:lang w:val="en-US" w:eastAsia="zh-CN"/>
        </w:rPr>
      </w:pPr>
      <w:r>
        <w:rPr>
          <w:rFonts w:ascii="Times New Roman" w:hAnsi="Times New Roman" w:eastAsia="宋体" w:cs="Times New Roman"/>
          <w:b/>
          <w:bCs/>
          <w:sz w:val="32"/>
          <w:szCs w:val="32"/>
        </w:rPr>
        <w:t>建设单位：</w:t>
      </w:r>
      <w:r>
        <w:rPr>
          <w:rFonts w:hint="eastAsia" w:ascii="Times New Roman" w:hAnsi="Times New Roman" w:eastAsia="宋体" w:cs="Times New Roman"/>
          <w:b/>
          <w:bCs/>
          <w:sz w:val="32"/>
          <w:szCs w:val="32"/>
          <w:u w:val="single"/>
          <w:lang w:val="en-US" w:eastAsia="zh-CN"/>
        </w:rPr>
        <w:t>山东瑞盟生物科技有限公司</w:t>
      </w:r>
    </w:p>
    <w:p w14:paraId="1A3B604C">
      <w:pPr>
        <w:spacing w:line="600" w:lineRule="auto"/>
        <w:jc w:val="center"/>
        <w:rPr>
          <w:rFonts w:ascii="Times New Roman" w:hAnsi="Times New Roman" w:eastAsia="宋体" w:cs="Times New Roman"/>
        </w:rPr>
      </w:pPr>
      <w:r>
        <w:rPr>
          <w:rFonts w:ascii="Times New Roman" w:hAnsi="Times New Roman" w:eastAsia="宋体" w:cs="Times New Roman"/>
          <w:b/>
          <w:bCs/>
          <w:sz w:val="32"/>
          <w:szCs w:val="32"/>
        </w:rPr>
        <w:t>编制单位：</w:t>
      </w:r>
      <w:r>
        <w:rPr>
          <w:rFonts w:hint="eastAsia" w:ascii="Times New Roman" w:hAnsi="Times New Roman" w:eastAsia="宋体" w:cs="Times New Roman"/>
          <w:b/>
          <w:bCs/>
          <w:sz w:val="32"/>
          <w:szCs w:val="32"/>
          <w:u w:val="single"/>
          <w:lang w:val="en-US" w:eastAsia="zh-CN"/>
        </w:rPr>
        <w:t>山东瑞盟生物科技有限公司</w:t>
      </w:r>
    </w:p>
    <w:p w14:paraId="20388FA3">
      <w:pPr>
        <w:jc w:val="center"/>
        <w:rPr>
          <w:rFonts w:ascii="Times New Roman" w:hAnsi="Times New Roman" w:eastAsia="宋体" w:cs="Times New Roman"/>
          <w:sz w:val="28"/>
          <w:szCs w:val="28"/>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Times New Roman" w:hAnsi="Times New Roman" w:eastAsia="宋体" w:cs="Times New Roman"/>
          <w:b/>
          <w:bCs/>
          <w:sz w:val="30"/>
          <w:szCs w:val="30"/>
        </w:rPr>
        <w:t>202</w:t>
      </w:r>
      <w:r>
        <w:rPr>
          <w:rFonts w:hint="eastAsia" w:ascii="Times New Roman" w:hAnsi="Times New Roman" w:eastAsia="宋体" w:cs="Times New Roman"/>
          <w:b/>
          <w:bCs/>
          <w:sz w:val="30"/>
          <w:szCs w:val="30"/>
          <w:lang w:val="en-US" w:eastAsia="zh-CN"/>
        </w:rPr>
        <w:t>5</w:t>
      </w:r>
      <w:r>
        <w:rPr>
          <w:rFonts w:ascii="Times New Roman" w:hAnsi="Times New Roman" w:eastAsia="宋体" w:cs="Times New Roman"/>
          <w:b/>
          <w:bCs/>
          <w:sz w:val="30"/>
          <w:szCs w:val="30"/>
        </w:rPr>
        <w:t>年</w:t>
      </w:r>
      <w:r>
        <w:rPr>
          <w:rFonts w:hint="eastAsia" w:ascii="Times New Roman" w:hAnsi="Times New Roman" w:eastAsia="宋体" w:cs="Times New Roman"/>
          <w:b/>
          <w:bCs/>
          <w:sz w:val="30"/>
          <w:szCs w:val="30"/>
          <w:lang w:val="en-US" w:eastAsia="zh-CN"/>
        </w:rPr>
        <w:t>02</w:t>
      </w:r>
      <w:r>
        <w:rPr>
          <w:rFonts w:ascii="Times New Roman" w:hAnsi="Times New Roman" w:eastAsia="宋体" w:cs="Times New Roman"/>
          <w:b/>
          <w:bCs/>
          <w:sz w:val="30"/>
          <w:szCs w:val="30"/>
        </w:rPr>
        <w:t>月</w:t>
      </w:r>
    </w:p>
    <w:p w14:paraId="7B33D9CB">
      <w:pPr>
        <w:pStyle w:val="24"/>
        <w:rPr>
          <w:rFonts w:ascii="Times New Roman" w:hAnsi="Times New Roman" w:eastAsia="宋体" w:cs="Times New Roman"/>
        </w:rPr>
      </w:pPr>
    </w:p>
    <w:p w14:paraId="2410A8F8">
      <w:pPr>
        <w:spacing w:line="360" w:lineRule="auto"/>
        <w:jc w:val="left"/>
        <w:rPr>
          <w:rFonts w:hint="eastAsia" w:ascii="Times New Roman" w:hAnsi="Times New Roman" w:eastAsia="宋体" w:cs="Times New Roman"/>
          <w:b/>
          <w:sz w:val="28"/>
          <w:lang w:val="en-US" w:eastAsia="zh-CN"/>
        </w:rPr>
      </w:pPr>
      <w:r>
        <w:rPr>
          <w:rFonts w:ascii="Times New Roman" w:hAnsi="Times New Roman" w:eastAsia="宋体" w:cs="Times New Roman"/>
          <w:b/>
          <w:sz w:val="28"/>
        </w:rPr>
        <w:t>建设单位：</w:t>
      </w:r>
      <w:r>
        <w:rPr>
          <w:rFonts w:hint="eastAsia" w:ascii="Times New Roman" w:hAnsi="Times New Roman" w:eastAsia="宋体" w:cs="Times New Roman"/>
          <w:b/>
          <w:color w:val="000000" w:themeColor="text1"/>
          <w:sz w:val="28"/>
          <w:lang w:val="en-US" w:eastAsia="zh-CN"/>
          <w14:textFill>
            <w14:solidFill>
              <w14:schemeClr w14:val="tx1"/>
            </w14:solidFill>
          </w14:textFill>
        </w:rPr>
        <w:t>山东瑞盟生物科技有限公司</w:t>
      </w:r>
    </w:p>
    <w:p w14:paraId="0A116EAF">
      <w:pPr>
        <w:spacing w:line="360" w:lineRule="auto"/>
        <w:rPr>
          <w:rFonts w:hint="default" w:ascii="Times New Roman" w:hAnsi="Times New Roman" w:eastAsia="宋体" w:cs="Times New Roman"/>
          <w:b/>
          <w:sz w:val="28"/>
          <w:lang w:val="en-US" w:eastAsia="zh-CN"/>
        </w:rPr>
      </w:pPr>
      <w:r>
        <w:rPr>
          <w:rFonts w:ascii="Times New Roman" w:hAnsi="Times New Roman" w:eastAsia="宋体" w:cs="Times New Roman"/>
          <w:b/>
          <w:sz w:val="28"/>
        </w:rPr>
        <w:t>法人代表</w:t>
      </w:r>
      <w:r>
        <w:rPr>
          <w:rFonts w:hint="eastAsia" w:ascii="Times New Roman" w:hAnsi="Times New Roman" w:eastAsia="宋体" w:cs="Times New Roman"/>
          <w:b/>
          <w:sz w:val="28"/>
          <w:lang w:eastAsia="zh-CN"/>
        </w:rPr>
        <w:t>：</w:t>
      </w:r>
      <w:r>
        <w:rPr>
          <w:rFonts w:hint="eastAsia" w:ascii="Times New Roman" w:hAnsi="Times New Roman" w:eastAsia="宋体" w:cs="Times New Roman"/>
          <w:b/>
          <w:color w:val="000000" w:themeColor="text1"/>
          <w:sz w:val="28"/>
          <w:lang w:val="en-US" w:eastAsia="zh-CN"/>
          <w14:textFill>
            <w14:solidFill>
              <w14:schemeClr w14:val="tx1"/>
            </w14:solidFill>
          </w14:textFill>
        </w:rPr>
        <w:t>朱国侠</w:t>
      </w:r>
    </w:p>
    <w:p w14:paraId="1EA09937">
      <w:pPr>
        <w:spacing w:line="360" w:lineRule="auto"/>
        <w:rPr>
          <w:rFonts w:hint="eastAsia" w:ascii="Times New Roman" w:hAnsi="Times New Roman" w:eastAsia="宋体" w:cs="Times New Roman"/>
          <w:b/>
          <w:sz w:val="28"/>
          <w:lang w:eastAsia="zh-CN"/>
        </w:rPr>
      </w:pPr>
      <w:r>
        <w:rPr>
          <w:rFonts w:ascii="Times New Roman" w:hAnsi="Times New Roman" w:eastAsia="宋体" w:cs="Times New Roman"/>
          <w:b/>
          <w:sz w:val="28"/>
        </w:rPr>
        <w:t>编制单位：</w:t>
      </w:r>
      <w:r>
        <w:rPr>
          <w:rFonts w:hint="eastAsia" w:ascii="Times New Roman" w:hAnsi="Times New Roman" w:eastAsia="宋体" w:cs="Times New Roman"/>
          <w:b/>
          <w:color w:val="000000" w:themeColor="text1"/>
          <w:sz w:val="28"/>
          <w:lang w:val="en-US" w:eastAsia="zh-CN"/>
          <w14:textFill>
            <w14:solidFill>
              <w14:schemeClr w14:val="tx1"/>
            </w14:solidFill>
          </w14:textFill>
        </w:rPr>
        <w:t>山东瑞盟生物科技有限公司</w:t>
      </w:r>
    </w:p>
    <w:p w14:paraId="71EC9696">
      <w:pPr>
        <w:spacing w:line="360" w:lineRule="auto"/>
        <w:rPr>
          <w:rFonts w:hint="eastAsia" w:ascii="Times New Roman" w:hAnsi="Times New Roman" w:eastAsia="宋体" w:cs="Times New Roman"/>
          <w:b/>
          <w:sz w:val="28"/>
          <w:lang w:val="en-US" w:eastAsia="zh-CN"/>
        </w:rPr>
      </w:pPr>
      <w:r>
        <w:rPr>
          <w:rFonts w:ascii="Times New Roman" w:hAnsi="Times New Roman" w:eastAsia="宋体" w:cs="Times New Roman"/>
          <w:b/>
          <w:sz w:val="28"/>
        </w:rPr>
        <w:t>法人代表</w:t>
      </w:r>
      <w:r>
        <w:rPr>
          <w:rFonts w:hint="eastAsia" w:ascii="Times New Roman" w:hAnsi="Times New Roman" w:eastAsia="宋体" w:cs="Times New Roman"/>
          <w:b/>
          <w:sz w:val="28"/>
          <w:lang w:eastAsia="zh-CN"/>
        </w:rPr>
        <w:t>：</w:t>
      </w:r>
      <w:r>
        <w:rPr>
          <w:rFonts w:hint="eastAsia" w:ascii="Times New Roman" w:hAnsi="Times New Roman" w:eastAsia="宋体" w:cs="Times New Roman"/>
          <w:b/>
          <w:color w:val="000000" w:themeColor="text1"/>
          <w:sz w:val="28"/>
          <w:lang w:val="en-US" w:eastAsia="zh-CN"/>
          <w14:textFill>
            <w14:solidFill>
              <w14:schemeClr w14:val="tx1"/>
            </w14:solidFill>
          </w14:textFill>
        </w:rPr>
        <w:t>朱国侠</w:t>
      </w:r>
    </w:p>
    <w:p w14:paraId="554DFCCC">
      <w:pPr>
        <w:spacing w:line="360" w:lineRule="auto"/>
        <w:rPr>
          <w:rFonts w:hint="default" w:ascii="Times New Roman" w:hAnsi="Times New Roman" w:eastAsia="宋体" w:cs="Times New Roman"/>
          <w:b/>
          <w:sz w:val="28"/>
          <w:lang w:val="en-US" w:eastAsia="zh-CN"/>
        </w:rPr>
      </w:pPr>
      <w:r>
        <w:rPr>
          <w:rFonts w:ascii="Times New Roman" w:hAnsi="Times New Roman" w:eastAsia="宋体" w:cs="Times New Roman"/>
          <w:b/>
          <w:sz w:val="28"/>
        </w:rPr>
        <w:t>项目负责人</w:t>
      </w:r>
      <w:r>
        <w:rPr>
          <w:rFonts w:hint="eastAsia" w:ascii="Times New Roman" w:hAnsi="Times New Roman" w:eastAsia="宋体" w:cs="Times New Roman"/>
          <w:b/>
          <w:sz w:val="28"/>
          <w:lang w:eastAsia="zh-CN"/>
        </w:rPr>
        <w:t>：</w:t>
      </w:r>
      <w:r>
        <w:rPr>
          <w:rFonts w:hint="eastAsia" w:ascii="Times New Roman" w:hAnsi="Times New Roman" w:eastAsia="宋体" w:cs="Times New Roman"/>
          <w:b/>
          <w:color w:val="000000" w:themeColor="text1"/>
          <w:sz w:val="28"/>
          <w:lang w:val="en-US" w:eastAsia="zh-CN"/>
          <w14:textFill>
            <w14:solidFill>
              <w14:schemeClr w14:val="tx1"/>
            </w14:solidFill>
          </w14:textFill>
        </w:rPr>
        <w:t>朱国侠</w:t>
      </w:r>
    </w:p>
    <w:p w14:paraId="5677FCC0">
      <w:pPr>
        <w:pStyle w:val="17"/>
      </w:pPr>
    </w:p>
    <w:p w14:paraId="6577661A">
      <w:pPr>
        <w:pStyle w:val="17"/>
      </w:pPr>
    </w:p>
    <w:p w14:paraId="04AC63BC">
      <w:pPr>
        <w:pStyle w:val="17"/>
      </w:pPr>
    </w:p>
    <w:p w14:paraId="15459435">
      <w:pPr>
        <w:pStyle w:val="17"/>
      </w:pPr>
    </w:p>
    <w:p w14:paraId="5D6EE8DE">
      <w:pPr>
        <w:pStyle w:val="17"/>
      </w:pPr>
    </w:p>
    <w:p w14:paraId="7C725436">
      <w:pPr>
        <w:pStyle w:val="17"/>
      </w:pPr>
    </w:p>
    <w:p w14:paraId="5D96D06F">
      <w:pPr>
        <w:pStyle w:val="17"/>
      </w:pPr>
    </w:p>
    <w:p w14:paraId="2E7158CA">
      <w:pPr>
        <w:spacing w:line="360" w:lineRule="auto"/>
        <w:rPr>
          <w:rFonts w:ascii="Times New Roman" w:hAnsi="Times New Roman" w:eastAsia="宋体" w:cs="Times New Roman"/>
          <w:b/>
          <w:bCs/>
          <w:sz w:val="28"/>
        </w:rPr>
      </w:pPr>
    </w:p>
    <w:p w14:paraId="6E5EA299">
      <w:pPr>
        <w:spacing w:line="360" w:lineRule="auto"/>
        <w:rPr>
          <w:rFonts w:ascii="Times New Roman" w:hAnsi="Times New Roman" w:eastAsia="宋体" w:cs="Times New Roman"/>
          <w:b/>
          <w:bCs/>
          <w:sz w:val="28"/>
        </w:rPr>
      </w:pPr>
    </w:p>
    <w:p w14:paraId="4A121B1D">
      <w:pPr>
        <w:spacing w:line="360" w:lineRule="auto"/>
        <w:jc w:val="left"/>
        <w:rPr>
          <w:rFonts w:hint="eastAsia" w:ascii="Times New Roman" w:hAnsi="Times New Roman" w:eastAsia="宋体" w:cs="Times New Roman"/>
          <w:b/>
          <w:bCs/>
          <w:sz w:val="28"/>
          <w:lang w:eastAsia="zh-CN"/>
        </w:rPr>
      </w:pPr>
      <w:r>
        <w:rPr>
          <w:rFonts w:ascii="Times New Roman" w:hAnsi="Times New Roman" w:eastAsia="宋体" w:cs="Times New Roman"/>
          <w:b/>
          <w:bCs/>
          <w:sz w:val="28"/>
        </w:rPr>
        <w:t>建设单位：</w:t>
      </w:r>
      <w:r>
        <w:rPr>
          <w:rFonts w:hint="eastAsia" w:ascii="Times New Roman" w:hAnsi="Times New Roman" w:eastAsia="宋体" w:cs="Times New Roman"/>
          <w:b/>
          <w:sz w:val="28"/>
          <w:lang w:val="en-US" w:eastAsia="zh-CN"/>
        </w:rPr>
        <w:t>山东瑞盟生物科技有限公司</w:t>
      </w:r>
    </w:p>
    <w:p w14:paraId="7F001C55">
      <w:pPr>
        <w:spacing w:line="360" w:lineRule="auto"/>
        <w:jc w:val="left"/>
        <w:rPr>
          <w:rFonts w:hint="eastAsia" w:ascii="Times New Roman" w:hAnsi="Times New Roman" w:eastAsia="宋体" w:cs="Times New Roman"/>
          <w:b/>
          <w:bCs/>
          <w:sz w:val="28"/>
          <w:lang w:eastAsia="zh-CN"/>
        </w:rPr>
      </w:pPr>
      <w:r>
        <w:rPr>
          <w:rFonts w:ascii="Times New Roman" w:hAnsi="Times New Roman" w:eastAsia="宋体" w:cs="Times New Roman"/>
          <w:b/>
          <w:bCs/>
          <w:sz w:val="28"/>
        </w:rPr>
        <w:t>编制单位：</w:t>
      </w:r>
      <w:r>
        <w:rPr>
          <w:rFonts w:hint="eastAsia" w:ascii="Times New Roman" w:hAnsi="Times New Roman" w:eastAsia="宋体" w:cs="Times New Roman"/>
          <w:b/>
          <w:sz w:val="28"/>
          <w:lang w:val="en-US" w:eastAsia="zh-CN"/>
        </w:rPr>
        <w:t>山东瑞盟生物科技有限公司</w:t>
      </w:r>
    </w:p>
    <w:p w14:paraId="3D9D4032">
      <w:pPr>
        <w:spacing w:line="360" w:lineRule="auto"/>
        <w:rPr>
          <w:rFonts w:hint="default" w:ascii="Times New Roman" w:hAnsi="Times New Roman" w:eastAsia="宋体" w:cs="Times New Roman"/>
          <w:b/>
          <w:bCs/>
          <w:sz w:val="28"/>
          <w:lang w:val="en-US" w:eastAsia="zh-CN"/>
        </w:rPr>
      </w:pPr>
      <w:r>
        <w:rPr>
          <w:rFonts w:ascii="Times New Roman" w:hAnsi="Times New Roman" w:eastAsia="宋体" w:cs="Times New Roman"/>
          <w:b/>
          <w:bCs/>
          <w:sz w:val="28"/>
        </w:rPr>
        <w:t>电话</w:t>
      </w:r>
      <w:r>
        <w:rPr>
          <w:rFonts w:hint="eastAsia" w:ascii="Times New Roman" w:hAnsi="Times New Roman" w:eastAsia="宋体" w:cs="Times New Roman"/>
          <w:b/>
          <w:bCs/>
          <w:sz w:val="28"/>
          <w:lang w:eastAsia="zh-CN"/>
        </w:rPr>
        <w:t>：</w:t>
      </w:r>
      <w:r>
        <w:rPr>
          <w:rFonts w:hint="eastAsia" w:ascii="Times New Roman" w:hAnsi="Times New Roman" w:eastAsia="宋体" w:cs="Times New Roman"/>
          <w:b/>
          <w:bCs/>
          <w:sz w:val="28"/>
          <w:szCs w:val="28"/>
          <w:lang w:val="en-US" w:eastAsia="zh-CN"/>
        </w:rPr>
        <w:t>18625922208</w:t>
      </w:r>
    </w:p>
    <w:p w14:paraId="6FA80867">
      <w:pPr>
        <w:spacing w:line="360" w:lineRule="auto"/>
        <w:jc w:val="left"/>
        <w:rPr>
          <w:rFonts w:hint="default" w:ascii="Times New Roman" w:hAnsi="Times New Roman" w:eastAsia="宋体" w:cs="Times New Roman"/>
          <w:b/>
          <w:bCs/>
          <w:sz w:val="28"/>
          <w:lang w:val="en-US" w:eastAsia="zh-CN"/>
        </w:rPr>
      </w:pPr>
      <w:r>
        <w:rPr>
          <w:rFonts w:hint="default" w:ascii="Times New Roman" w:hAnsi="Times New Roman" w:eastAsia="宋体" w:cs="Times New Roman"/>
          <w:b/>
          <w:bCs/>
          <w:sz w:val="28"/>
        </w:rPr>
        <w:t>邮编</w:t>
      </w:r>
      <w:r>
        <w:rPr>
          <w:rFonts w:hint="eastAsia" w:ascii="Times New Roman" w:hAnsi="Times New Roman" w:eastAsia="宋体" w:cs="Times New Roman"/>
          <w:b/>
          <w:bCs/>
          <w:sz w:val="28"/>
          <w:lang w:eastAsia="zh-CN"/>
        </w:rPr>
        <w:t>：</w:t>
      </w:r>
      <w:r>
        <w:rPr>
          <w:rFonts w:hint="eastAsia" w:ascii="Times New Roman" w:hAnsi="Times New Roman" w:eastAsia="宋体" w:cs="Times New Roman"/>
          <w:b/>
          <w:bCs/>
          <w:sz w:val="28"/>
          <w:lang w:val="en-US" w:eastAsia="zh-CN"/>
        </w:rPr>
        <w:t>274206</w:t>
      </w:r>
    </w:p>
    <w:p w14:paraId="4F053829">
      <w:pPr>
        <w:adjustRightInd w:val="0"/>
        <w:snapToGrid w:val="0"/>
        <w:jc w:val="both"/>
        <w:rPr>
          <w:rFonts w:hint="eastAsia" w:ascii="Times New Roman" w:hAnsi="Times New Roman" w:eastAsia="宋体" w:cs="Times New Roman"/>
          <w:b/>
          <w:bCs/>
          <w:sz w:val="28"/>
          <w:szCs w:val="28"/>
          <w:lang w:val="en-US" w:eastAsia="zh-CN"/>
        </w:rPr>
        <w:sectPr>
          <w:headerReference r:id="rId5" w:type="default"/>
          <w:pgSz w:w="11906" w:h="16838"/>
          <w:pgMar w:top="1440" w:right="849" w:bottom="1440" w:left="1800" w:header="851" w:footer="992" w:gutter="0"/>
          <w:pgBorders>
            <w:top w:val="none" w:sz="0" w:space="0"/>
            <w:left w:val="none" w:sz="0" w:space="0"/>
            <w:bottom w:val="none" w:sz="0" w:space="0"/>
            <w:right w:val="none" w:sz="0" w:space="0"/>
          </w:pgBorders>
          <w:pgNumType w:fmt="decimal" w:start="2"/>
          <w:cols w:space="720" w:num="1"/>
          <w:docGrid w:type="lines" w:linePitch="312" w:charSpace="0"/>
        </w:sectPr>
      </w:pPr>
      <w:r>
        <w:rPr>
          <w:rFonts w:hint="default" w:ascii="Times New Roman" w:hAnsi="Times New Roman" w:eastAsia="宋体" w:cs="Times New Roman"/>
          <w:b/>
          <w:bCs/>
          <w:sz w:val="28"/>
        </w:rPr>
        <w:t>地址</w:t>
      </w:r>
      <w:r>
        <w:rPr>
          <w:rFonts w:hint="eastAsia" w:ascii="Times New Roman" w:hAnsi="Times New Roman" w:eastAsia="宋体" w:cs="Times New Roman"/>
          <w:b/>
          <w:bCs/>
          <w:sz w:val="28"/>
          <w:lang w:eastAsia="zh-CN"/>
        </w:rPr>
        <w:t>：</w:t>
      </w:r>
      <w:r>
        <w:rPr>
          <w:rFonts w:hint="eastAsia" w:ascii="Times New Roman" w:hAnsi="Times New Roman" w:eastAsia="宋体" w:cs="Times New Roman"/>
          <w:b/>
          <w:bCs/>
          <w:sz w:val="28"/>
          <w:lang w:val="en-US" w:eastAsia="zh-CN"/>
        </w:rPr>
        <w:t>山东省菏泽市成武县大田集镇港航产业园内</w:t>
      </w:r>
    </w:p>
    <w:sdt>
      <w:sdtPr>
        <w:rPr>
          <w:rFonts w:ascii="Times New Roman" w:hAnsi="Times New Roman" w:eastAsia="宋体" w:cs="Times New Roman"/>
          <w:color w:val="auto"/>
          <w:kern w:val="2"/>
          <w:sz w:val="21"/>
          <w:szCs w:val="22"/>
          <w:lang w:val="zh-CN"/>
        </w:rPr>
        <w:id w:val="1108552957"/>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14:paraId="122A2D10">
          <w:pPr>
            <w:pStyle w:val="54"/>
            <w:jc w:val="center"/>
            <w:rPr>
              <w:rFonts w:ascii="Times New Roman" w:hAnsi="Times New Roman" w:eastAsia="宋体" w:cs="Times New Roman"/>
              <w:color w:val="auto"/>
            </w:rPr>
          </w:pPr>
          <w:r>
            <w:rPr>
              <w:rFonts w:ascii="Times New Roman" w:hAnsi="Times New Roman" w:eastAsia="宋体" w:cs="Times New Roman"/>
              <w:b/>
              <w:bCs/>
              <w:color w:val="auto"/>
              <w:lang w:val="zh-CN"/>
            </w:rPr>
            <w:t>目录</w:t>
          </w:r>
        </w:p>
        <w:p w14:paraId="4A5B1D35">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TOC \o "1-3" \h \z \u </w:instrText>
          </w:r>
          <w:r>
            <w:rPr>
              <w:rFonts w:ascii="Times New Roman" w:hAnsi="Times New Roman" w:eastAsia="宋体" w:cs="Times New Roman"/>
            </w:rPr>
            <w:fldChar w:fldCharType="separate"/>
          </w:r>
          <w:r>
            <w:rPr>
              <w:rFonts w:ascii="Times New Roman" w:hAnsi="Times New Roman" w:eastAsia="宋体" w:cs="Times New Roman"/>
            </w:rPr>
            <w:fldChar w:fldCharType="begin"/>
          </w:r>
          <w:r>
            <w:rPr>
              <w:rFonts w:ascii="Times New Roman" w:hAnsi="Times New Roman" w:eastAsia="宋体" w:cs="Times New Roman"/>
            </w:rPr>
            <w:instrText xml:space="preserve"> HYPERLINK \l _Toc10125 </w:instrText>
          </w:r>
          <w:r>
            <w:rPr>
              <w:rFonts w:ascii="Times New Roman" w:hAnsi="Times New Roman" w:eastAsia="宋体" w:cs="Times New Roman"/>
            </w:rPr>
            <w:fldChar w:fldCharType="separate"/>
          </w:r>
          <w:r>
            <w:rPr>
              <w:rFonts w:ascii="Times New Roman" w:hAnsi="Times New Roman" w:eastAsia="宋体" w:cs="Times New Roman"/>
              <w:szCs w:val="32"/>
            </w:rPr>
            <w:t>1、验收项目概况</w:t>
          </w:r>
          <w:r>
            <w:tab/>
          </w:r>
          <w:r>
            <w:fldChar w:fldCharType="begin"/>
          </w:r>
          <w:r>
            <w:instrText xml:space="preserve"> PAGEREF _Toc10125 \h </w:instrText>
          </w:r>
          <w:r>
            <w:fldChar w:fldCharType="separate"/>
          </w:r>
          <w:r>
            <w:t>1</w:t>
          </w:r>
          <w:r>
            <w:fldChar w:fldCharType="end"/>
          </w:r>
          <w:r>
            <w:rPr>
              <w:rFonts w:ascii="Times New Roman" w:hAnsi="Times New Roman" w:eastAsia="宋体" w:cs="Times New Roman"/>
            </w:rPr>
            <w:fldChar w:fldCharType="end"/>
          </w:r>
        </w:p>
        <w:p w14:paraId="299B072A">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_Toc17640 </w:instrText>
          </w:r>
          <w:r>
            <w:rPr>
              <w:rFonts w:ascii="Times New Roman" w:hAnsi="Times New Roman" w:eastAsia="宋体" w:cs="Times New Roman"/>
            </w:rPr>
            <w:fldChar w:fldCharType="separate"/>
          </w:r>
          <w:r>
            <w:rPr>
              <w:rFonts w:ascii="Times New Roman" w:hAnsi="Times New Roman" w:eastAsia="宋体" w:cs="Times New Roman"/>
              <w:szCs w:val="32"/>
            </w:rPr>
            <w:t>1.1验收项目基本情况</w:t>
          </w:r>
          <w:r>
            <w:tab/>
          </w:r>
          <w:r>
            <w:fldChar w:fldCharType="begin"/>
          </w:r>
          <w:r>
            <w:instrText xml:space="preserve"> PAGEREF _Toc17640 \h </w:instrText>
          </w:r>
          <w:r>
            <w:fldChar w:fldCharType="separate"/>
          </w:r>
          <w:r>
            <w:t>1</w:t>
          </w:r>
          <w:r>
            <w:fldChar w:fldCharType="end"/>
          </w:r>
          <w:r>
            <w:rPr>
              <w:rFonts w:ascii="Times New Roman" w:hAnsi="Times New Roman" w:eastAsia="宋体" w:cs="Times New Roman"/>
            </w:rPr>
            <w:fldChar w:fldCharType="end"/>
          </w:r>
        </w:p>
        <w:p w14:paraId="58BA27B2">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_Toc26503 </w:instrText>
          </w:r>
          <w:r>
            <w:rPr>
              <w:rFonts w:ascii="Times New Roman" w:hAnsi="Times New Roman" w:eastAsia="宋体" w:cs="Times New Roman"/>
            </w:rPr>
            <w:fldChar w:fldCharType="separate"/>
          </w:r>
          <w:r>
            <w:rPr>
              <w:rFonts w:ascii="Times New Roman" w:hAnsi="Times New Roman" w:eastAsia="宋体" w:cs="Times New Roman"/>
              <w:szCs w:val="32"/>
            </w:rPr>
            <w:t>1.2验收内容及目的</w:t>
          </w:r>
          <w:r>
            <w:tab/>
          </w:r>
          <w:r>
            <w:fldChar w:fldCharType="begin"/>
          </w:r>
          <w:r>
            <w:instrText xml:space="preserve"> PAGEREF _Toc26503 \h </w:instrText>
          </w:r>
          <w:r>
            <w:fldChar w:fldCharType="separate"/>
          </w:r>
          <w:r>
            <w:t>1</w:t>
          </w:r>
          <w:r>
            <w:fldChar w:fldCharType="end"/>
          </w:r>
          <w:r>
            <w:rPr>
              <w:rFonts w:ascii="Times New Roman" w:hAnsi="Times New Roman" w:eastAsia="宋体" w:cs="Times New Roman"/>
            </w:rPr>
            <w:fldChar w:fldCharType="end"/>
          </w:r>
        </w:p>
        <w:p w14:paraId="1B2DC3C9">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_Toc21063 </w:instrText>
          </w:r>
          <w:r>
            <w:rPr>
              <w:rFonts w:ascii="Times New Roman" w:hAnsi="Times New Roman" w:eastAsia="宋体" w:cs="Times New Roman"/>
            </w:rPr>
            <w:fldChar w:fldCharType="separate"/>
          </w:r>
          <w:r>
            <w:rPr>
              <w:rFonts w:ascii="Times New Roman" w:hAnsi="Times New Roman" w:eastAsia="宋体" w:cs="Times New Roman"/>
              <w:szCs w:val="32"/>
            </w:rPr>
            <w:t>2、验收依据</w:t>
          </w:r>
          <w:r>
            <w:tab/>
          </w:r>
          <w:r>
            <w:fldChar w:fldCharType="begin"/>
          </w:r>
          <w:r>
            <w:instrText xml:space="preserve"> PAGEREF _Toc21063 \h </w:instrText>
          </w:r>
          <w:r>
            <w:fldChar w:fldCharType="separate"/>
          </w:r>
          <w:r>
            <w:t>3</w:t>
          </w:r>
          <w:r>
            <w:fldChar w:fldCharType="end"/>
          </w:r>
          <w:r>
            <w:rPr>
              <w:rFonts w:ascii="Times New Roman" w:hAnsi="Times New Roman" w:eastAsia="宋体" w:cs="Times New Roman"/>
            </w:rPr>
            <w:fldChar w:fldCharType="end"/>
          </w:r>
        </w:p>
        <w:p w14:paraId="51C5875C">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_Toc4640 </w:instrText>
          </w:r>
          <w:r>
            <w:rPr>
              <w:rFonts w:ascii="Times New Roman" w:hAnsi="Times New Roman" w:eastAsia="宋体" w:cs="Times New Roman"/>
            </w:rPr>
            <w:fldChar w:fldCharType="separate"/>
          </w:r>
          <w:r>
            <w:rPr>
              <w:rFonts w:ascii="Times New Roman" w:hAnsi="Times New Roman" w:eastAsia="宋体" w:cs="Times New Roman"/>
              <w:szCs w:val="32"/>
            </w:rPr>
            <w:t>2.1法律依据</w:t>
          </w:r>
          <w:r>
            <w:tab/>
          </w:r>
          <w:r>
            <w:fldChar w:fldCharType="begin"/>
          </w:r>
          <w:r>
            <w:instrText xml:space="preserve"> PAGEREF _Toc4640 \h </w:instrText>
          </w:r>
          <w:r>
            <w:fldChar w:fldCharType="separate"/>
          </w:r>
          <w:r>
            <w:t>3</w:t>
          </w:r>
          <w:r>
            <w:fldChar w:fldCharType="end"/>
          </w:r>
          <w:r>
            <w:rPr>
              <w:rFonts w:ascii="Times New Roman" w:hAnsi="Times New Roman" w:eastAsia="宋体" w:cs="Times New Roman"/>
            </w:rPr>
            <w:fldChar w:fldCharType="end"/>
          </w:r>
        </w:p>
        <w:p w14:paraId="50CEABB3">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_Toc10875 </w:instrText>
          </w:r>
          <w:r>
            <w:rPr>
              <w:rFonts w:ascii="Times New Roman" w:hAnsi="Times New Roman" w:eastAsia="宋体" w:cs="Times New Roman"/>
            </w:rPr>
            <w:fldChar w:fldCharType="separate"/>
          </w:r>
          <w:r>
            <w:rPr>
              <w:rFonts w:ascii="Times New Roman" w:hAnsi="Times New Roman" w:eastAsia="宋体" w:cs="Times New Roman"/>
              <w:szCs w:val="32"/>
            </w:rPr>
            <w:t>2.2 验收技术规范</w:t>
          </w:r>
          <w:r>
            <w:tab/>
          </w:r>
          <w:r>
            <w:fldChar w:fldCharType="begin"/>
          </w:r>
          <w:r>
            <w:instrText xml:space="preserve"> PAGEREF _Toc10875 \h </w:instrText>
          </w:r>
          <w:r>
            <w:fldChar w:fldCharType="separate"/>
          </w:r>
          <w:r>
            <w:t>3</w:t>
          </w:r>
          <w:r>
            <w:fldChar w:fldCharType="end"/>
          </w:r>
          <w:r>
            <w:rPr>
              <w:rFonts w:ascii="Times New Roman" w:hAnsi="Times New Roman" w:eastAsia="宋体" w:cs="Times New Roman"/>
            </w:rPr>
            <w:fldChar w:fldCharType="end"/>
          </w:r>
        </w:p>
        <w:p w14:paraId="458898AB">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_Toc4388 </w:instrText>
          </w:r>
          <w:r>
            <w:rPr>
              <w:rFonts w:ascii="Times New Roman" w:hAnsi="Times New Roman" w:eastAsia="宋体" w:cs="Times New Roman"/>
            </w:rPr>
            <w:fldChar w:fldCharType="separate"/>
          </w:r>
          <w:r>
            <w:rPr>
              <w:rFonts w:ascii="Times New Roman" w:hAnsi="Times New Roman" w:eastAsia="宋体" w:cs="Times New Roman"/>
              <w:szCs w:val="32"/>
            </w:rPr>
            <w:t>2.2其他法规、条例</w:t>
          </w:r>
          <w:r>
            <w:tab/>
          </w:r>
          <w:r>
            <w:fldChar w:fldCharType="begin"/>
          </w:r>
          <w:r>
            <w:instrText xml:space="preserve"> PAGEREF _Toc4388 \h </w:instrText>
          </w:r>
          <w:r>
            <w:fldChar w:fldCharType="separate"/>
          </w:r>
          <w:r>
            <w:t>4</w:t>
          </w:r>
          <w:r>
            <w:fldChar w:fldCharType="end"/>
          </w:r>
          <w:r>
            <w:rPr>
              <w:rFonts w:ascii="Times New Roman" w:hAnsi="Times New Roman" w:eastAsia="宋体" w:cs="Times New Roman"/>
            </w:rPr>
            <w:fldChar w:fldCharType="end"/>
          </w:r>
        </w:p>
        <w:p w14:paraId="04F7BFFC">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_Toc26539 </w:instrText>
          </w:r>
          <w:r>
            <w:rPr>
              <w:rFonts w:ascii="Times New Roman" w:hAnsi="Times New Roman" w:eastAsia="宋体" w:cs="Times New Roman"/>
            </w:rPr>
            <w:fldChar w:fldCharType="separate"/>
          </w:r>
          <w:r>
            <w:rPr>
              <w:rFonts w:ascii="Times New Roman" w:hAnsi="Times New Roman" w:eastAsia="宋体" w:cs="Times New Roman"/>
              <w:szCs w:val="32"/>
            </w:rPr>
            <w:t>2.3技术文件依据</w:t>
          </w:r>
          <w:r>
            <w:tab/>
          </w:r>
          <w:r>
            <w:fldChar w:fldCharType="begin"/>
          </w:r>
          <w:r>
            <w:instrText xml:space="preserve"> PAGEREF _Toc26539 \h </w:instrText>
          </w:r>
          <w:r>
            <w:fldChar w:fldCharType="separate"/>
          </w:r>
          <w:r>
            <w:t>4</w:t>
          </w:r>
          <w:r>
            <w:fldChar w:fldCharType="end"/>
          </w:r>
          <w:r>
            <w:rPr>
              <w:rFonts w:ascii="Times New Roman" w:hAnsi="Times New Roman" w:eastAsia="宋体" w:cs="Times New Roman"/>
            </w:rPr>
            <w:fldChar w:fldCharType="end"/>
          </w:r>
        </w:p>
        <w:p w14:paraId="0EC7C261">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_Toc14213 </w:instrText>
          </w:r>
          <w:r>
            <w:rPr>
              <w:rFonts w:ascii="Times New Roman" w:hAnsi="Times New Roman" w:eastAsia="宋体" w:cs="Times New Roman"/>
            </w:rPr>
            <w:fldChar w:fldCharType="separate"/>
          </w:r>
          <w:r>
            <w:rPr>
              <w:rFonts w:ascii="Times New Roman" w:hAnsi="Times New Roman" w:eastAsia="宋体" w:cs="Times New Roman"/>
              <w:szCs w:val="32"/>
            </w:rPr>
            <w:t>2.4验收监测评价标准</w:t>
          </w:r>
          <w:r>
            <w:tab/>
          </w:r>
          <w:r>
            <w:fldChar w:fldCharType="begin"/>
          </w:r>
          <w:r>
            <w:instrText xml:space="preserve"> PAGEREF _Toc14213 \h </w:instrText>
          </w:r>
          <w:r>
            <w:fldChar w:fldCharType="separate"/>
          </w:r>
          <w:r>
            <w:t>5</w:t>
          </w:r>
          <w:r>
            <w:fldChar w:fldCharType="end"/>
          </w:r>
          <w:r>
            <w:rPr>
              <w:rFonts w:ascii="Times New Roman" w:hAnsi="Times New Roman" w:eastAsia="宋体" w:cs="Times New Roman"/>
            </w:rPr>
            <w:fldChar w:fldCharType="end"/>
          </w:r>
        </w:p>
        <w:p w14:paraId="7872D52D">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_Toc13525 </w:instrText>
          </w:r>
          <w:r>
            <w:rPr>
              <w:rFonts w:ascii="Times New Roman" w:hAnsi="Times New Roman" w:eastAsia="宋体" w:cs="Times New Roman"/>
            </w:rPr>
            <w:fldChar w:fldCharType="separate"/>
          </w:r>
          <w:r>
            <w:rPr>
              <w:rFonts w:ascii="Times New Roman" w:hAnsi="Times New Roman" w:eastAsia="宋体" w:cs="Times New Roman"/>
              <w:szCs w:val="32"/>
            </w:rPr>
            <w:t>3、工程建设情况</w:t>
          </w:r>
          <w:r>
            <w:tab/>
          </w:r>
          <w:r>
            <w:fldChar w:fldCharType="begin"/>
          </w:r>
          <w:r>
            <w:instrText xml:space="preserve"> PAGEREF _Toc13525 \h </w:instrText>
          </w:r>
          <w:r>
            <w:fldChar w:fldCharType="separate"/>
          </w:r>
          <w:r>
            <w:t>6</w:t>
          </w:r>
          <w:r>
            <w:fldChar w:fldCharType="end"/>
          </w:r>
          <w:r>
            <w:rPr>
              <w:rFonts w:ascii="Times New Roman" w:hAnsi="Times New Roman" w:eastAsia="宋体" w:cs="Times New Roman"/>
            </w:rPr>
            <w:fldChar w:fldCharType="end"/>
          </w:r>
        </w:p>
        <w:p w14:paraId="67AE5FCF">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_Toc182 </w:instrText>
          </w:r>
          <w:r>
            <w:rPr>
              <w:rFonts w:ascii="Times New Roman" w:hAnsi="Times New Roman" w:eastAsia="宋体" w:cs="Times New Roman"/>
            </w:rPr>
            <w:fldChar w:fldCharType="separate"/>
          </w:r>
          <w:r>
            <w:rPr>
              <w:rFonts w:ascii="Times New Roman" w:hAnsi="Times New Roman" w:eastAsia="宋体" w:cs="Times New Roman"/>
              <w:szCs w:val="32"/>
            </w:rPr>
            <w:t>3.1地理位置及平面布置</w:t>
          </w:r>
          <w:r>
            <w:tab/>
          </w:r>
          <w:r>
            <w:fldChar w:fldCharType="begin"/>
          </w:r>
          <w:r>
            <w:instrText xml:space="preserve"> PAGEREF _Toc182 \h </w:instrText>
          </w:r>
          <w:r>
            <w:fldChar w:fldCharType="separate"/>
          </w:r>
          <w:r>
            <w:t>6</w:t>
          </w:r>
          <w:r>
            <w:fldChar w:fldCharType="end"/>
          </w:r>
          <w:r>
            <w:rPr>
              <w:rFonts w:ascii="Times New Roman" w:hAnsi="Times New Roman" w:eastAsia="宋体" w:cs="Times New Roman"/>
            </w:rPr>
            <w:fldChar w:fldCharType="end"/>
          </w:r>
        </w:p>
        <w:p w14:paraId="5A4F45AE">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_Toc29267 </w:instrText>
          </w:r>
          <w:r>
            <w:rPr>
              <w:rFonts w:ascii="Times New Roman" w:hAnsi="Times New Roman" w:eastAsia="宋体" w:cs="Times New Roman"/>
            </w:rPr>
            <w:fldChar w:fldCharType="separate"/>
          </w:r>
          <w:r>
            <w:rPr>
              <w:rFonts w:ascii="Times New Roman" w:hAnsi="Times New Roman" w:eastAsia="宋体" w:cs="Times New Roman"/>
              <w:szCs w:val="32"/>
            </w:rPr>
            <w:t>3.2建设内容</w:t>
          </w:r>
          <w:r>
            <w:tab/>
          </w:r>
          <w:r>
            <w:fldChar w:fldCharType="begin"/>
          </w:r>
          <w:r>
            <w:instrText xml:space="preserve"> PAGEREF _Toc29267 \h </w:instrText>
          </w:r>
          <w:r>
            <w:fldChar w:fldCharType="separate"/>
          </w:r>
          <w:r>
            <w:t>1</w:t>
          </w:r>
          <w:r>
            <w:fldChar w:fldCharType="end"/>
          </w:r>
          <w:r>
            <w:rPr>
              <w:rFonts w:ascii="Times New Roman" w:hAnsi="Times New Roman" w:eastAsia="宋体" w:cs="Times New Roman"/>
            </w:rPr>
            <w:fldChar w:fldCharType="end"/>
          </w:r>
        </w:p>
        <w:p w14:paraId="4CD4A8E2">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_Toc31663 </w:instrText>
          </w:r>
          <w:r>
            <w:rPr>
              <w:rFonts w:ascii="Times New Roman" w:hAnsi="Times New Roman" w:eastAsia="宋体" w:cs="Times New Roman"/>
            </w:rPr>
            <w:fldChar w:fldCharType="separate"/>
          </w:r>
          <w:r>
            <w:rPr>
              <w:rFonts w:ascii="Times New Roman" w:hAnsi="Times New Roman" w:eastAsia="宋体" w:cs="Times New Roman"/>
              <w:szCs w:val="32"/>
            </w:rPr>
            <w:t>3.3主要原辅材料、产品及生产设备</w:t>
          </w:r>
          <w:r>
            <w:tab/>
          </w:r>
          <w:r>
            <w:fldChar w:fldCharType="begin"/>
          </w:r>
          <w:r>
            <w:instrText xml:space="preserve"> PAGEREF _Toc31663 \h </w:instrText>
          </w:r>
          <w:r>
            <w:fldChar w:fldCharType="separate"/>
          </w:r>
          <w:r>
            <w:t>1</w:t>
          </w:r>
          <w:r>
            <w:fldChar w:fldCharType="end"/>
          </w:r>
          <w:r>
            <w:rPr>
              <w:rFonts w:ascii="Times New Roman" w:hAnsi="Times New Roman" w:eastAsia="宋体" w:cs="Times New Roman"/>
            </w:rPr>
            <w:fldChar w:fldCharType="end"/>
          </w:r>
        </w:p>
        <w:p w14:paraId="66F502D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_Toc27441 </w:instrText>
          </w:r>
          <w:r>
            <w:rPr>
              <w:rFonts w:ascii="Times New Roman" w:hAnsi="Times New Roman" w:eastAsia="宋体" w:cs="Times New Roman"/>
            </w:rPr>
            <w:fldChar w:fldCharType="separate"/>
          </w:r>
          <w:r>
            <w:rPr>
              <w:rFonts w:ascii="Times New Roman" w:hAnsi="Times New Roman" w:eastAsia="宋体" w:cs="Times New Roman"/>
              <w:szCs w:val="32"/>
            </w:rPr>
            <w:t>3.4水源及水平衡</w:t>
          </w:r>
          <w:r>
            <w:tab/>
          </w:r>
          <w:r>
            <w:fldChar w:fldCharType="begin"/>
          </w:r>
          <w:r>
            <w:instrText xml:space="preserve"> PAGEREF _Toc27441 \h </w:instrText>
          </w:r>
          <w:r>
            <w:fldChar w:fldCharType="separate"/>
          </w:r>
          <w:r>
            <w:t>4</w:t>
          </w:r>
          <w:r>
            <w:fldChar w:fldCharType="end"/>
          </w:r>
          <w:r>
            <w:rPr>
              <w:rFonts w:ascii="Times New Roman" w:hAnsi="Times New Roman" w:eastAsia="宋体" w:cs="Times New Roman"/>
            </w:rPr>
            <w:fldChar w:fldCharType="end"/>
          </w:r>
        </w:p>
        <w:p w14:paraId="132251E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_Toc18267 </w:instrText>
          </w:r>
          <w:r>
            <w:rPr>
              <w:rFonts w:ascii="Times New Roman" w:hAnsi="Times New Roman" w:eastAsia="宋体" w:cs="Times New Roman"/>
            </w:rPr>
            <w:fldChar w:fldCharType="separate"/>
          </w:r>
          <w:r>
            <w:rPr>
              <w:rFonts w:ascii="Times New Roman" w:hAnsi="Times New Roman" w:eastAsia="宋体" w:cs="Times New Roman"/>
              <w:szCs w:val="32"/>
            </w:rPr>
            <w:t>3.5生产工艺</w:t>
          </w:r>
          <w:r>
            <w:tab/>
          </w:r>
          <w:r>
            <w:fldChar w:fldCharType="begin"/>
          </w:r>
          <w:r>
            <w:instrText xml:space="preserve"> PAGEREF _Toc18267 \h </w:instrText>
          </w:r>
          <w:r>
            <w:fldChar w:fldCharType="separate"/>
          </w:r>
          <w:r>
            <w:t>7</w:t>
          </w:r>
          <w:r>
            <w:fldChar w:fldCharType="end"/>
          </w:r>
          <w:r>
            <w:rPr>
              <w:rFonts w:ascii="Times New Roman" w:hAnsi="Times New Roman" w:eastAsia="宋体" w:cs="Times New Roman"/>
            </w:rPr>
            <w:fldChar w:fldCharType="end"/>
          </w:r>
        </w:p>
        <w:p w14:paraId="07F84147">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_Toc2679 </w:instrText>
          </w:r>
          <w:r>
            <w:rPr>
              <w:rFonts w:ascii="Times New Roman" w:hAnsi="Times New Roman" w:eastAsia="宋体" w:cs="Times New Roman"/>
            </w:rPr>
            <w:fldChar w:fldCharType="separate"/>
          </w:r>
          <w:r>
            <w:rPr>
              <w:rFonts w:ascii="Times New Roman" w:hAnsi="Times New Roman" w:eastAsia="宋体" w:cs="Times New Roman"/>
              <w:szCs w:val="32"/>
            </w:rPr>
            <w:t>3.6项目变动情况</w:t>
          </w:r>
          <w:r>
            <w:tab/>
          </w:r>
          <w:r>
            <w:fldChar w:fldCharType="begin"/>
          </w:r>
          <w:r>
            <w:instrText xml:space="preserve"> PAGEREF _Toc2679 \h </w:instrText>
          </w:r>
          <w:r>
            <w:fldChar w:fldCharType="separate"/>
          </w:r>
          <w:r>
            <w:t>8</w:t>
          </w:r>
          <w:r>
            <w:fldChar w:fldCharType="end"/>
          </w:r>
          <w:r>
            <w:rPr>
              <w:rFonts w:ascii="Times New Roman" w:hAnsi="Times New Roman" w:eastAsia="宋体" w:cs="Times New Roman"/>
            </w:rPr>
            <w:fldChar w:fldCharType="end"/>
          </w:r>
        </w:p>
        <w:p w14:paraId="35DE5234">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_Toc29510 </w:instrText>
          </w:r>
          <w:r>
            <w:rPr>
              <w:rFonts w:ascii="Times New Roman" w:hAnsi="Times New Roman" w:eastAsia="宋体" w:cs="Times New Roman"/>
            </w:rPr>
            <w:fldChar w:fldCharType="separate"/>
          </w:r>
          <w:r>
            <w:rPr>
              <w:rFonts w:ascii="Times New Roman" w:hAnsi="Times New Roman" w:eastAsia="宋体" w:cs="Times New Roman"/>
              <w:szCs w:val="32"/>
            </w:rPr>
            <w:t>4、环境保护设施</w:t>
          </w:r>
          <w:r>
            <w:tab/>
          </w:r>
          <w:r>
            <w:fldChar w:fldCharType="begin"/>
          </w:r>
          <w:r>
            <w:instrText xml:space="preserve"> PAGEREF _Toc29510 \h </w:instrText>
          </w:r>
          <w:r>
            <w:fldChar w:fldCharType="separate"/>
          </w:r>
          <w:r>
            <w:t>13</w:t>
          </w:r>
          <w:r>
            <w:fldChar w:fldCharType="end"/>
          </w:r>
          <w:r>
            <w:rPr>
              <w:rFonts w:ascii="Times New Roman" w:hAnsi="Times New Roman" w:eastAsia="宋体" w:cs="Times New Roman"/>
            </w:rPr>
            <w:fldChar w:fldCharType="end"/>
          </w:r>
        </w:p>
        <w:p w14:paraId="6AF22BD1">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_Toc14239 </w:instrText>
          </w:r>
          <w:r>
            <w:rPr>
              <w:rFonts w:ascii="Times New Roman" w:hAnsi="Times New Roman" w:eastAsia="宋体" w:cs="Times New Roman"/>
            </w:rPr>
            <w:fldChar w:fldCharType="separate"/>
          </w:r>
          <w:r>
            <w:rPr>
              <w:rFonts w:ascii="Times New Roman" w:hAnsi="Times New Roman" w:eastAsia="宋体" w:cs="Times New Roman"/>
              <w:szCs w:val="32"/>
            </w:rPr>
            <w:t>4.1污染物治理/处置设施</w:t>
          </w:r>
          <w:r>
            <w:tab/>
          </w:r>
          <w:r>
            <w:fldChar w:fldCharType="begin"/>
          </w:r>
          <w:r>
            <w:instrText xml:space="preserve"> PAGEREF _Toc14239 \h </w:instrText>
          </w:r>
          <w:r>
            <w:fldChar w:fldCharType="separate"/>
          </w:r>
          <w:r>
            <w:t>13</w:t>
          </w:r>
          <w:r>
            <w:fldChar w:fldCharType="end"/>
          </w:r>
          <w:r>
            <w:rPr>
              <w:rFonts w:ascii="Times New Roman" w:hAnsi="Times New Roman" w:eastAsia="宋体" w:cs="Times New Roman"/>
            </w:rPr>
            <w:fldChar w:fldCharType="end"/>
          </w:r>
        </w:p>
        <w:p w14:paraId="4A32F45D">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_Toc28341 </w:instrText>
          </w:r>
          <w:r>
            <w:rPr>
              <w:rFonts w:ascii="Times New Roman" w:hAnsi="Times New Roman" w:eastAsia="宋体" w:cs="Times New Roman"/>
            </w:rPr>
            <w:fldChar w:fldCharType="separate"/>
          </w:r>
          <w:r>
            <w:rPr>
              <w:rFonts w:ascii="Times New Roman" w:hAnsi="Times New Roman" w:eastAsia="宋体" w:cs="Times New Roman"/>
              <w:szCs w:val="32"/>
            </w:rPr>
            <w:t>4.2其他环保设施</w:t>
          </w:r>
          <w:r>
            <w:tab/>
          </w:r>
          <w:r>
            <w:fldChar w:fldCharType="begin"/>
          </w:r>
          <w:r>
            <w:instrText xml:space="preserve"> PAGEREF _Toc28341 \h </w:instrText>
          </w:r>
          <w:r>
            <w:fldChar w:fldCharType="separate"/>
          </w:r>
          <w:r>
            <w:t>16</w:t>
          </w:r>
          <w:r>
            <w:fldChar w:fldCharType="end"/>
          </w:r>
          <w:r>
            <w:rPr>
              <w:rFonts w:ascii="Times New Roman" w:hAnsi="Times New Roman" w:eastAsia="宋体" w:cs="Times New Roman"/>
            </w:rPr>
            <w:fldChar w:fldCharType="end"/>
          </w:r>
        </w:p>
        <w:p w14:paraId="36A40A0C">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_Toc31684 </w:instrText>
          </w:r>
          <w:r>
            <w:rPr>
              <w:rFonts w:ascii="Times New Roman" w:hAnsi="Times New Roman" w:eastAsia="宋体" w:cs="Times New Roman"/>
            </w:rPr>
            <w:fldChar w:fldCharType="separate"/>
          </w:r>
          <w:r>
            <w:rPr>
              <w:rFonts w:ascii="Times New Roman" w:hAnsi="Times New Roman" w:eastAsia="宋体" w:cs="Times New Roman"/>
              <w:szCs w:val="32"/>
            </w:rPr>
            <w:t>4.3环保设施投资及</w:t>
          </w:r>
          <w:r>
            <w:rPr>
              <w:rFonts w:hint="eastAsia" w:ascii="Times New Roman" w:hAnsi="Times New Roman" w:eastAsia="宋体" w:cs="Times New Roman"/>
              <w:szCs w:val="32"/>
              <w:lang w:eastAsia="zh-CN"/>
            </w:rPr>
            <w:t>“</w:t>
          </w:r>
          <w:r>
            <w:rPr>
              <w:rFonts w:ascii="Times New Roman" w:hAnsi="Times New Roman" w:eastAsia="宋体" w:cs="Times New Roman"/>
              <w:szCs w:val="32"/>
            </w:rPr>
            <w:t>三同时</w:t>
          </w:r>
          <w:r>
            <w:rPr>
              <w:rFonts w:hint="eastAsia" w:ascii="Times New Roman" w:hAnsi="Times New Roman" w:eastAsia="宋体" w:cs="Times New Roman"/>
              <w:szCs w:val="32"/>
              <w:lang w:eastAsia="zh-CN"/>
            </w:rPr>
            <w:t>”</w:t>
          </w:r>
          <w:r>
            <w:rPr>
              <w:rFonts w:ascii="Times New Roman" w:hAnsi="Times New Roman" w:eastAsia="宋体" w:cs="Times New Roman"/>
              <w:szCs w:val="32"/>
            </w:rPr>
            <w:t>落实情况</w:t>
          </w:r>
          <w:r>
            <w:tab/>
          </w:r>
          <w:r>
            <w:fldChar w:fldCharType="begin"/>
          </w:r>
          <w:r>
            <w:instrText xml:space="preserve"> PAGEREF _Toc31684 \h </w:instrText>
          </w:r>
          <w:r>
            <w:fldChar w:fldCharType="separate"/>
          </w:r>
          <w:r>
            <w:t>19</w:t>
          </w:r>
          <w:r>
            <w:fldChar w:fldCharType="end"/>
          </w:r>
          <w:r>
            <w:rPr>
              <w:rFonts w:ascii="Times New Roman" w:hAnsi="Times New Roman" w:eastAsia="宋体" w:cs="Times New Roman"/>
            </w:rPr>
            <w:fldChar w:fldCharType="end"/>
          </w:r>
        </w:p>
        <w:p w14:paraId="7212779E">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_Toc16788 </w:instrText>
          </w:r>
          <w:r>
            <w:rPr>
              <w:rFonts w:ascii="Times New Roman" w:hAnsi="Times New Roman" w:eastAsia="宋体" w:cs="Times New Roman"/>
            </w:rPr>
            <w:fldChar w:fldCharType="separate"/>
          </w:r>
          <w:r>
            <w:rPr>
              <w:rFonts w:ascii="Times New Roman" w:hAnsi="Times New Roman" w:eastAsia="宋体" w:cs="Times New Roman"/>
              <w:szCs w:val="32"/>
            </w:rPr>
            <w:t>5、建设项目环评报告表的主要结论与建议及审批部门审批决定</w:t>
          </w:r>
          <w:r>
            <w:tab/>
          </w:r>
          <w:r>
            <w:fldChar w:fldCharType="begin"/>
          </w:r>
          <w:r>
            <w:instrText xml:space="preserve"> PAGEREF _Toc16788 \h </w:instrText>
          </w:r>
          <w:r>
            <w:fldChar w:fldCharType="separate"/>
          </w:r>
          <w:r>
            <w:t>19</w:t>
          </w:r>
          <w:r>
            <w:fldChar w:fldCharType="end"/>
          </w:r>
          <w:r>
            <w:rPr>
              <w:rFonts w:ascii="Times New Roman" w:hAnsi="Times New Roman" w:eastAsia="宋体" w:cs="Times New Roman"/>
            </w:rPr>
            <w:fldChar w:fldCharType="end"/>
          </w:r>
        </w:p>
        <w:p w14:paraId="72BE3FB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_Toc23894 </w:instrText>
          </w:r>
          <w:r>
            <w:rPr>
              <w:rFonts w:ascii="Times New Roman" w:hAnsi="Times New Roman" w:eastAsia="宋体" w:cs="Times New Roman"/>
            </w:rPr>
            <w:fldChar w:fldCharType="separate"/>
          </w:r>
          <w:r>
            <w:rPr>
              <w:rFonts w:ascii="Times New Roman" w:hAnsi="Times New Roman" w:eastAsia="宋体" w:cs="Times New Roman"/>
              <w:szCs w:val="32"/>
            </w:rPr>
            <w:t>5.1建设项目环评报告书表的主要结论与建议</w:t>
          </w:r>
          <w:r>
            <w:tab/>
          </w:r>
          <w:r>
            <w:fldChar w:fldCharType="begin"/>
          </w:r>
          <w:r>
            <w:instrText xml:space="preserve"> PAGEREF _Toc23894 \h </w:instrText>
          </w:r>
          <w:r>
            <w:fldChar w:fldCharType="separate"/>
          </w:r>
          <w:r>
            <w:t>21</w:t>
          </w:r>
          <w:r>
            <w:fldChar w:fldCharType="end"/>
          </w:r>
          <w:r>
            <w:rPr>
              <w:rFonts w:ascii="Times New Roman" w:hAnsi="Times New Roman" w:eastAsia="宋体" w:cs="Times New Roman"/>
            </w:rPr>
            <w:fldChar w:fldCharType="end"/>
          </w:r>
        </w:p>
        <w:p w14:paraId="51768319">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_Toc26090 </w:instrText>
          </w:r>
          <w:r>
            <w:rPr>
              <w:rFonts w:ascii="Times New Roman" w:hAnsi="Times New Roman" w:eastAsia="宋体" w:cs="Times New Roman"/>
            </w:rPr>
            <w:fldChar w:fldCharType="separate"/>
          </w:r>
          <w:r>
            <w:rPr>
              <w:rFonts w:ascii="Times New Roman" w:hAnsi="Times New Roman" w:eastAsia="宋体" w:cs="Times New Roman"/>
              <w:szCs w:val="32"/>
            </w:rPr>
            <w:t>6、验收执行标准</w:t>
          </w:r>
          <w:r>
            <w:tab/>
          </w:r>
          <w:r>
            <w:fldChar w:fldCharType="begin"/>
          </w:r>
          <w:r>
            <w:instrText xml:space="preserve"> PAGEREF _Toc26090 \h </w:instrText>
          </w:r>
          <w:r>
            <w:fldChar w:fldCharType="separate"/>
          </w:r>
          <w:r>
            <w:t>24</w:t>
          </w:r>
          <w:r>
            <w:fldChar w:fldCharType="end"/>
          </w:r>
          <w:r>
            <w:rPr>
              <w:rFonts w:ascii="Times New Roman" w:hAnsi="Times New Roman" w:eastAsia="宋体" w:cs="Times New Roman"/>
            </w:rPr>
            <w:fldChar w:fldCharType="end"/>
          </w:r>
        </w:p>
        <w:p w14:paraId="409750D5">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_Toc3666 </w:instrText>
          </w:r>
          <w:r>
            <w:rPr>
              <w:rFonts w:ascii="Times New Roman" w:hAnsi="Times New Roman" w:eastAsia="宋体" w:cs="Times New Roman"/>
            </w:rPr>
            <w:fldChar w:fldCharType="separate"/>
          </w:r>
          <w:r>
            <w:rPr>
              <w:rFonts w:ascii="Times New Roman" w:hAnsi="Times New Roman" w:eastAsia="宋体" w:cs="Times New Roman"/>
              <w:szCs w:val="32"/>
            </w:rPr>
            <w:t>7、验收监测内容</w:t>
          </w:r>
          <w:r>
            <w:tab/>
          </w:r>
          <w:r>
            <w:fldChar w:fldCharType="begin"/>
          </w:r>
          <w:r>
            <w:instrText xml:space="preserve"> PAGEREF _Toc3666 \h </w:instrText>
          </w:r>
          <w:r>
            <w:fldChar w:fldCharType="separate"/>
          </w:r>
          <w:r>
            <w:t>28</w:t>
          </w:r>
          <w:r>
            <w:fldChar w:fldCharType="end"/>
          </w:r>
          <w:r>
            <w:rPr>
              <w:rFonts w:ascii="Times New Roman" w:hAnsi="Times New Roman" w:eastAsia="宋体" w:cs="Times New Roman"/>
            </w:rPr>
            <w:fldChar w:fldCharType="end"/>
          </w:r>
        </w:p>
        <w:p w14:paraId="10321349">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_Toc3490 </w:instrText>
          </w:r>
          <w:r>
            <w:rPr>
              <w:rFonts w:ascii="Times New Roman" w:hAnsi="Times New Roman" w:eastAsia="宋体" w:cs="Times New Roman"/>
            </w:rPr>
            <w:fldChar w:fldCharType="separate"/>
          </w:r>
          <w:r>
            <w:rPr>
              <w:rFonts w:ascii="Times New Roman" w:hAnsi="Times New Roman" w:eastAsia="宋体" w:cs="Times New Roman"/>
              <w:szCs w:val="32"/>
            </w:rPr>
            <w:t>7.1 环境保护设施调试效果</w:t>
          </w:r>
          <w:r>
            <w:tab/>
          </w:r>
          <w:r>
            <w:fldChar w:fldCharType="begin"/>
          </w:r>
          <w:r>
            <w:instrText xml:space="preserve"> PAGEREF _Toc3490 \h </w:instrText>
          </w:r>
          <w:r>
            <w:fldChar w:fldCharType="separate"/>
          </w:r>
          <w:r>
            <w:t>28</w:t>
          </w:r>
          <w:r>
            <w:fldChar w:fldCharType="end"/>
          </w:r>
          <w:r>
            <w:rPr>
              <w:rFonts w:ascii="Times New Roman" w:hAnsi="Times New Roman" w:eastAsia="宋体" w:cs="Times New Roman"/>
            </w:rPr>
            <w:fldChar w:fldCharType="end"/>
          </w:r>
        </w:p>
        <w:p w14:paraId="2BB423D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_Toc10571 </w:instrText>
          </w:r>
          <w:r>
            <w:rPr>
              <w:rFonts w:ascii="Times New Roman" w:hAnsi="Times New Roman" w:eastAsia="宋体" w:cs="Times New Roman"/>
            </w:rPr>
            <w:fldChar w:fldCharType="separate"/>
          </w:r>
          <w:r>
            <w:rPr>
              <w:rFonts w:ascii="Times New Roman" w:hAnsi="Times New Roman" w:eastAsia="宋体" w:cs="Times New Roman"/>
              <w:szCs w:val="32"/>
            </w:rPr>
            <w:t>7.2环境质量监测</w:t>
          </w:r>
          <w:r>
            <w:tab/>
          </w:r>
          <w:r>
            <w:fldChar w:fldCharType="begin"/>
          </w:r>
          <w:r>
            <w:instrText xml:space="preserve"> PAGEREF _Toc10571 \h </w:instrText>
          </w:r>
          <w:r>
            <w:fldChar w:fldCharType="separate"/>
          </w:r>
          <w:r>
            <w:t>29</w:t>
          </w:r>
          <w:r>
            <w:fldChar w:fldCharType="end"/>
          </w:r>
          <w:r>
            <w:rPr>
              <w:rFonts w:ascii="Times New Roman" w:hAnsi="Times New Roman" w:eastAsia="宋体" w:cs="Times New Roman"/>
            </w:rPr>
            <w:fldChar w:fldCharType="end"/>
          </w:r>
        </w:p>
        <w:p w14:paraId="652173D4">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_Toc16367 </w:instrText>
          </w:r>
          <w:r>
            <w:rPr>
              <w:rFonts w:ascii="Times New Roman" w:hAnsi="Times New Roman" w:eastAsia="宋体" w:cs="Times New Roman"/>
            </w:rPr>
            <w:fldChar w:fldCharType="separate"/>
          </w:r>
          <w:r>
            <w:rPr>
              <w:rFonts w:ascii="Times New Roman" w:hAnsi="Times New Roman" w:eastAsia="宋体" w:cs="Times New Roman"/>
              <w:szCs w:val="32"/>
            </w:rPr>
            <w:t>8、质量保证及质量控制</w:t>
          </w:r>
          <w:r>
            <w:tab/>
          </w:r>
          <w:r>
            <w:fldChar w:fldCharType="begin"/>
          </w:r>
          <w:r>
            <w:instrText xml:space="preserve"> PAGEREF _Toc16367 \h </w:instrText>
          </w:r>
          <w:r>
            <w:fldChar w:fldCharType="separate"/>
          </w:r>
          <w:r>
            <w:t>31</w:t>
          </w:r>
          <w:r>
            <w:fldChar w:fldCharType="end"/>
          </w:r>
          <w:r>
            <w:rPr>
              <w:rFonts w:ascii="Times New Roman" w:hAnsi="Times New Roman" w:eastAsia="宋体" w:cs="Times New Roman"/>
            </w:rPr>
            <w:fldChar w:fldCharType="end"/>
          </w:r>
        </w:p>
        <w:p w14:paraId="12BA07C8">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_Toc23509 </w:instrText>
          </w:r>
          <w:r>
            <w:rPr>
              <w:rFonts w:ascii="Times New Roman" w:hAnsi="Times New Roman" w:eastAsia="宋体" w:cs="Times New Roman"/>
            </w:rPr>
            <w:fldChar w:fldCharType="separate"/>
          </w:r>
          <w:r>
            <w:rPr>
              <w:rFonts w:ascii="Times New Roman" w:hAnsi="Times New Roman" w:eastAsia="宋体" w:cs="Times New Roman"/>
              <w:szCs w:val="32"/>
            </w:rPr>
            <w:t>8.1监测分析方法及监测仪器</w:t>
          </w:r>
          <w:r>
            <w:tab/>
          </w:r>
          <w:r>
            <w:fldChar w:fldCharType="begin"/>
          </w:r>
          <w:r>
            <w:instrText xml:space="preserve"> PAGEREF _Toc23509 \h </w:instrText>
          </w:r>
          <w:r>
            <w:fldChar w:fldCharType="separate"/>
          </w:r>
          <w:r>
            <w:t>31</w:t>
          </w:r>
          <w:r>
            <w:fldChar w:fldCharType="end"/>
          </w:r>
          <w:r>
            <w:rPr>
              <w:rFonts w:ascii="Times New Roman" w:hAnsi="Times New Roman" w:eastAsia="宋体" w:cs="Times New Roman"/>
            </w:rPr>
            <w:fldChar w:fldCharType="end"/>
          </w:r>
        </w:p>
        <w:p w14:paraId="7B52394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_Toc21150 </w:instrText>
          </w:r>
          <w:r>
            <w:rPr>
              <w:rFonts w:ascii="Times New Roman" w:hAnsi="Times New Roman" w:eastAsia="宋体" w:cs="Times New Roman"/>
            </w:rPr>
            <w:fldChar w:fldCharType="separate"/>
          </w:r>
          <w:r>
            <w:rPr>
              <w:rFonts w:ascii="Times New Roman" w:hAnsi="Times New Roman" w:eastAsia="宋体" w:cs="Times New Roman"/>
              <w:szCs w:val="32"/>
            </w:rPr>
            <w:t>8.2人员资质</w:t>
          </w:r>
          <w:r>
            <w:tab/>
          </w:r>
          <w:r>
            <w:fldChar w:fldCharType="begin"/>
          </w:r>
          <w:r>
            <w:instrText xml:space="preserve"> PAGEREF _Toc21150 \h </w:instrText>
          </w:r>
          <w:r>
            <w:fldChar w:fldCharType="separate"/>
          </w:r>
          <w:r>
            <w:t>31</w:t>
          </w:r>
          <w:r>
            <w:fldChar w:fldCharType="end"/>
          </w:r>
          <w:r>
            <w:rPr>
              <w:rFonts w:ascii="Times New Roman" w:hAnsi="Times New Roman" w:eastAsia="宋体" w:cs="Times New Roman"/>
            </w:rPr>
            <w:fldChar w:fldCharType="end"/>
          </w:r>
        </w:p>
        <w:p w14:paraId="00F54042">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_Toc4355 </w:instrText>
          </w:r>
          <w:r>
            <w:rPr>
              <w:rFonts w:ascii="Times New Roman" w:hAnsi="Times New Roman" w:eastAsia="宋体" w:cs="Times New Roman"/>
            </w:rPr>
            <w:fldChar w:fldCharType="separate"/>
          </w:r>
          <w:r>
            <w:rPr>
              <w:rFonts w:ascii="Times New Roman" w:hAnsi="Times New Roman" w:eastAsia="宋体" w:cs="Times New Roman"/>
              <w:szCs w:val="32"/>
            </w:rPr>
            <w:t>8.3水质监测分析过程中的质量保证和质量控制</w:t>
          </w:r>
          <w:r>
            <w:tab/>
          </w:r>
          <w:r>
            <w:fldChar w:fldCharType="begin"/>
          </w:r>
          <w:r>
            <w:instrText xml:space="preserve"> PAGEREF _Toc4355 \h </w:instrText>
          </w:r>
          <w:r>
            <w:fldChar w:fldCharType="separate"/>
          </w:r>
          <w:r>
            <w:t>31</w:t>
          </w:r>
          <w:r>
            <w:fldChar w:fldCharType="end"/>
          </w:r>
          <w:r>
            <w:rPr>
              <w:rFonts w:ascii="Times New Roman" w:hAnsi="Times New Roman" w:eastAsia="宋体" w:cs="Times New Roman"/>
            </w:rPr>
            <w:fldChar w:fldCharType="end"/>
          </w:r>
        </w:p>
        <w:p w14:paraId="3B30DAF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_Toc9991 </w:instrText>
          </w:r>
          <w:r>
            <w:rPr>
              <w:rFonts w:ascii="Times New Roman" w:hAnsi="Times New Roman" w:eastAsia="宋体" w:cs="Times New Roman"/>
            </w:rPr>
            <w:fldChar w:fldCharType="separate"/>
          </w:r>
          <w:r>
            <w:rPr>
              <w:rFonts w:ascii="Times New Roman" w:hAnsi="Times New Roman" w:eastAsia="宋体" w:cs="Times New Roman"/>
              <w:szCs w:val="32"/>
            </w:rPr>
            <w:t>8.4气体监测分析过程中的质量保证和质量控制</w:t>
          </w:r>
          <w:r>
            <w:tab/>
          </w:r>
          <w:r>
            <w:fldChar w:fldCharType="begin"/>
          </w:r>
          <w:r>
            <w:instrText xml:space="preserve"> PAGEREF _Toc9991 \h </w:instrText>
          </w:r>
          <w:r>
            <w:fldChar w:fldCharType="separate"/>
          </w:r>
          <w:r>
            <w:t>31</w:t>
          </w:r>
          <w:r>
            <w:fldChar w:fldCharType="end"/>
          </w:r>
          <w:r>
            <w:rPr>
              <w:rFonts w:ascii="Times New Roman" w:hAnsi="Times New Roman" w:eastAsia="宋体" w:cs="Times New Roman"/>
            </w:rPr>
            <w:fldChar w:fldCharType="end"/>
          </w:r>
        </w:p>
        <w:p w14:paraId="09750657">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_Toc1303 </w:instrText>
          </w:r>
          <w:r>
            <w:rPr>
              <w:rFonts w:ascii="Times New Roman" w:hAnsi="Times New Roman" w:eastAsia="宋体" w:cs="Times New Roman"/>
            </w:rPr>
            <w:fldChar w:fldCharType="separate"/>
          </w:r>
          <w:r>
            <w:rPr>
              <w:rFonts w:ascii="Times New Roman" w:hAnsi="Times New Roman" w:eastAsia="宋体" w:cs="Times New Roman"/>
              <w:szCs w:val="32"/>
            </w:rPr>
            <w:t>8.5噪声监测分析过程中的质量保证和质量控制</w:t>
          </w:r>
          <w:r>
            <w:tab/>
          </w:r>
          <w:r>
            <w:fldChar w:fldCharType="begin"/>
          </w:r>
          <w:r>
            <w:instrText xml:space="preserve"> PAGEREF _Toc1303 \h </w:instrText>
          </w:r>
          <w:r>
            <w:fldChar w:fldCharType="separate"/>
          </w:r>
          <w:r>
            <w:t>32</w:t>
          </w:r>
          <w:r>
            <w:fldChar w:fldCharType="end"/>
          </w:r>
          <w:r>
            <w:rPr>
              <w:rFonts w:ascii="Times New Roman" w:hAnsi="Times New Roman" w:eastAsia="宋体" w:cs="Times New Roman"/>
            </w:rPr>
            <w:fldChar w:fldCharType="end"/>
          </w:r>
        </w:p>
        <w:p w14:paraId="2727D08C">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_Toc3968 </w:instrText>
          </w:r>
          <w:r>
            <w:rPr>
              <w:rFonts w:ascii="Times New Roman" w:hAnsi="Times New Roman" w:eastAsia="宋体" w:cs="Times New Roman"/>
            </w:rPr>
            <w:fldChar w:fldCharType="separate"/>
          </w:r>
          <w:r>
            <w:rPr>
              <w:rFonts w:ascii="Times New Roman" w:hAnsi="Times New Roman" w:eastAsia="宋体" w:cs="Times New Roman"/>
              <w:szCs w:val="32"/>
            </w:rPr>
            <w:t>8.6固体废物监测分析过程中的质量保证和质量控制</w:t>
          </w:r>
          <w:r>
            <w:tab/>
          </w:r>
          <w:r>
            <w:fldChar w:fldCharType="begin"/>
          </w:r>
          <w:r>
            <w:instrText xml:space="preserve"> PAGEREF _Toc3968 \h </w:instrText>
          </w:r>
          <w:r>
            <w:fldChar w:fldCharType="separate"/>
          </w:r>
          <w:r>
            <w:t>32</w:t>
          </w:r>
          <w:r>
            <w:fldChar w:fldCharType="end"/>
          </w:r>
          <w:r>
            <w:rPr>
              <w:rFonts w:ascii="Times New Roman" w:hAnsi="Times New Roman" w:eastAsia="宋体" w:cs="Times New Roman"/>
            </w:rPr>
            <w:fldChar w:fldCharType="end"/>
          </w:r>
        </w:p>
        <w:p w14:paraId="5140B9FC">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_Toc13221 </w:instrText>
          </w:r>
          <w:r>
            <w:rPr>
              <w:rFonts w:ascii="Times New Roman" w:hAnsi="Times New Roman" w:eastAsia="宋体" w:cs="Times New Roman"/>
            </w:rPr>
            <w:fldChar w:fldCharType="separate"/>
          </w:r>
          <w:r>
            <w:rPr>
              <w:rFonts w:ascii="Times New Roman" w:hAnsi="Times New Roman" w:eastAsia="宋体" w:cs="Times New Roman"/>
              <w:szCs w:val="32"/>
            </w:rPr>
            <w:t>9、验收监测结果</w:t>
          </w:r>
          <w:r>
            <w:tab/>
          </w:r>
          <w:r>
            <w:fldChar w:fldCharType="begin"/>
          </w:r>
          <w:r>
            <w:instrText xml:space="preserve"> PAGEREF _Toc13221 \h </w:instrText>
          </w:r>
          <w:r>
            <w:fldChar w:fldCharType="separate"/>
          </w:r>
          <w:r>
            <w:t>33</w:t>
          </w:r>
          <w:r>
            <w:fldChar w:fldCharType="end"/>
          </w:r>
          <w:r>
            <w:rPr>
              <w:rFonts w:ascii="Times New Roman" w:hAnsi="Times New Roman" w:eastAsia="宋体" w:cs="Times New Roman"/>
            </w:rPr>
            <w:fldChar w:fldCharType="end"/>
          </w:r>
        </w:p>
        <w:p w14:paraId="7FEBB84E">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_Toc10630 </w:instrText>
          </w:r>
          <w:r>
            <w:rPr>
              <w:rFonts w:ascii="Times New Roman" w:hAnsi="Times New Roman" w:eastAsia="宋体" w:cs="Times New Roman"/>
            </w:rPr>
            <w:fldChar w:fldCharType="separate"/>
          </w:r>
          <w:r>
            <w:rPr>
              <w:rFonts w:ascii="Times New Roman" w:hAnsi="Times New Roman" w:eastAsia="宋体" w:cs="Times New Roman"/>
              <w:szCs w:val="32"/>
            </w:rPr>
            <w:t>9.1生产工况</w:t>
          </w:r>
          <w:r>
            <w:tab/>
          </w:r>
          <w:r>
            <w:fldChar w:fldCharType="begin"/>
          </w:r>
          <w:r>
            <w:instrText xml:space="preserve"> PAGEREF _Toc10630 \h </w:instrText>
          </w:r>
          <w:r>
            <w:fldChar w:fldCharType="separate"/>
          </w:r>
          <w:r>
            <w:t>33</w:t>
          </w:r>
          <w:r>
            <w:fldChar w:fldCharType="end"/>
          </w:r>
          <w:r>
            <w:rPr>
              <w:rFonts w:ascii="Times New Roman" w:hAnsi="Times New Roman" w:eastAsia="宋体" w:cs="Times New Roman"/>
            </w:rPr>
            <w:fldChar w:fldCharType="end"/>
          </w:r>
        </w:p>
        <w:p w14:paraId="0D74A1CA">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_Toc23462 </w:instrText>
          </w:r>
          <w:r>
            <w:rPr>
              <w:rFonts w:ascii="Times New Roman" w:hAnsi="Times New Roman" w:eastAsia="宋体" w:cs="Times New Roman"/>
            </w:rPr>
            <w:fldChar w:fldCharType="separate"/>
          </w:r>
          <w:r>
            <w:rPr>
              <w:rFonts w:ascii="Times New Roman" w:hAnsi="Times New Roman" w:eastAsia="宋体" w:cs="Times New Roman"/>
              <w:szCs w:val="32"/>
            </w:rPr>
            <w:t>9.2环保设施调试运行效果</w:t>
          </w:r>
          <w:r>
            <w:tab/>
          </w:r>
          <w:r>
            <w:fldChar w:fldCharType="begin"/>
          </w:r>
          <w:r>
            <w:instrText xml:space="preserve"> PAGEREF _Toc23462 \h </w:instrText>
          </w:r>
          <w:r>
            <w:fldChar w:fldCharType="separate"/>
          </w:r>
          <w:r>
            <w:t>33</w:t>
          </w:r>
          <w:r>
            <w:fldChar w:fldCharType="end"/>
          </w:r>
          <w:r>
            <w:rPr>
              <w:rFonts w:ascii="Times New Roman" w:hAnsi="Times New Roman" w:eastAsia="宋体" w:cs="Times New Roman"/>
            </w:rPr>
            <w:fldChar w:fldCharType="end"/>
          </w:r>
        </w:p>
        <w:p w14:paraId="1ACCACF0">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_Toc6638 </w:instrText>
          </w:r>
          <w:r>
            <w:rPr>
              <w:rFonts w:ascii="Times New Roman" w:hAnsi="Times New Roman" w:eastAsia="宋体" w:cs="Times New Roman"/>
            </w:rPr>
            <w:fldChar w:fldCharType="separate"/>
          </w:r>
          <w:r>
            <w:rPr>
              <w:rFonts w:ascii="Times New Roman" w:hAnsi="Times New Roman" w:eastAsia="宋体" w:cs="Times New Roman"/>
              <w:szCs w:val="32"/>
            </w:rPr>
            <w:t>10、验收监测结论</w:t>
          </w:r>
          <w:r>
            <w:tab/>
          </w:r>
          <w:r>
            <w:fldChar w:fldCharType="begin"/>
          </w:r>
          <w:r>
            <w:instrText xml:space="preserve"> PAGEREF _Toc6638 \h </w:instrText>
          </w:r>
          <w:r>
            <w:fldChar w:fldCharType="separate"/>
          </w:r>
          <w:r>
            <w:t>39</w:t>
          </w:r>
          <w:r>
            <w:fldChar w:fldCharType="end"/>
          </w:r>
          <w:r>
            <w:rPr>
              <w:rFonts w:ascii="Times New Roman" w:hAnsi="Times New Roman" w:eastAsia="宋体" w:cs="Times New Roman"/>
            </w:rPr>
            <w:fldChar w:fldCharType="end"/>
          </w:r>
        </w:p>
        <w:p w14:paraId="7B622A78">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_Toc29011 </w:instrText>
          </w:r>
          <w:r>
            <w:rPr>
              <w:rFonts w:ascii="Times New Roman" w:hAnsi="Times New Roman" w:eastAsia="宋体" w:cs="Times New Roman"/>
            </w:rPr>
            <w:fldChar w:fldCharType="separate"/>
          </w:r>
          <w:r>
            <w:rPr>
              <w:rFonts w:ascii="Times New Roman" w:hAnsi="Times New Roman" w:eastAsia="宋体" w:cs="Times New Roman"/>
              <w:szCs w:val="32"/>
            </w:rPr>
            <w:t>10.1环境保护设施调试效果</w:t>
          </w:r>
          <w:r>
            <w:tab/>
          </w:r>
          <w:r>
            <w:fldChar w:fldCharType="begin"/>
          </w:r>
          <w:r>
            <w:instrText xml:space="preserve"> PAGEREF _Toc29011 \h </w:instrText>
          </w:r>
          <w:r>
            <w:fldChar w:fldCharType="separate"/>
          </w:r>
          <w:r>
            <w:t>39</w:t>
          </w:r>
          <w:r>
            <w:fldChar w:fldCharType="end"/>
          </w:r>
          <w:r>
            <w:rPr>
              <w:rFonts w:ascii="Times New Roman" w:hAnsi="Times New Roman" w:eastAsia="宋体" w:cs="Times New Roman"/>
            </w:rPr>
            <w:fldChar w:fldCharType="end"/>
          </w:r>
        </w:p>
        <w:p w14:paraId="452F5F70">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_Toc17371 </w:instrText>
          </w:r>
          <w:r>
            <w:rPr>
              <w:rFonts w:ascii="Times New Roman" w:hAnsi="Times New Roman" w:eastAsia="宋体" w:cs="Times New Roman"/>
            </w:rPr>
            <w:fldChar w:fldCharType="separate"/>
          </w:r>
          <w:r>
            <w:rPr>
              <w:rFonts w:ascii="Times New Roman" w:hAnsi="Times New Roman" w:eastAsia="宋体" w:cs="Times New Roman"/>
              <w:szCs w:val="32"/>
            </w:rPr>
            <w:t>10.2建议</w:t>
          </w:r>
          <w:r>
            <w:tab/>
          </w:r>
          <w:r>
            <w:fldChar w:fldCharType="begin"/>
          </w:r>
          <w:r>
            <w:instrText xml:space="preserve"> PAGEREF _Toc17371 \h </w:instrText>
          </w:r>
          <w:r>
            <w:fldChar w:fldCharType="separate"/>
          </w:r>
          <w:r>
            <w:t>40</w:t>
          </w:r>
          <w:r>
            <w:fldChar w:fldCharType="end"/>
          </w:r>
          <w:r>
            <w:rPr>
              <w:rFonts w:ascii="Times New Roman" w:hAnsi="Times New Roman" w:eastAsia="宋体" w:cs="Times New Roman"/>
            </w:rPr>
            <w:fldChar w:fldCharType="end"/>
          </w:r>
        </w:p>
        <w:p w14:paraId="37CF4C2C">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_Toc21449 </w:instrText>
          </w:r>
          <w:r>
            <w:rPr>
              <w:rFonts w:ascii="Times New Roman" w:hAnsi="Times New Roman" w:eastAsia="宋体" w:cs="Times New Roman"/>
            </w:rPr>
            <w:fldChar w:fldCharType="separate"/>
          </w:r>
          <w:r>
            <w:rPr>
              <w:rFonts w:ascii="Times New Roman" w:hAnsi="Times New Roman" w:eastAsia="宋体" w:cs="Times New Roman"/>
              <w:szCs w:val="32"/>
            </w:rPr>
            <w:t>1</w:t>
          </w:r>
          <w:r>
            <w:rPr>
              <w:rFonts w:hint="eastAsia" w:ascii="Times New Roman" w:hAnsi="Times New Roman" w:eastAsia="宋体" w:cs="Times New Roman"/>
              <w:szCs w:val="32"/>
              <w:lang w:val="en-US" w:eastAsia="zh-CN"/>
            </w:rPr>
            <w:t>1其他说明事项</w:t>
          </w:r>
          <w:r>
            <w:tab/>
          </w:r>
          <w:r>
            <w:fldChar w:fldCharType="begin"/>
          </w:r>
          <w:r>
            <w:instrText xml:space="preserve"> PAGEREF _Toc21449 \h </w:instrText>
          </w:r>
          <w:r>
            <w:fldChar w:fldCharType="separate"/>
          </w:r>
          <w:r>
            <w:t>41</w:t>
          </w:r>
          <w:r>
            <w:fldChar w:fldCharType="end"/>
          </w:r>
          <w:r>
            <w:rPr>
              <w:rFonts w:ascii="Times New Roman" w:hAnsi="Times New Roman" w:eastAsia="宋体" w:cs="Times New Roman"/>
            </w:rPr>
            <w:fldChar w:fldCharType="end"/>
          </w:r>
        </w:p>
        <w:p w14:paraId="748EBD7E">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_Toc6236 </w:instrText>
          </w:r>
          <w:r>
            <w:rPr>
              <w:rFonts w:ascii="Times New Roman" w:hAnsi="Times New Roman" w:eastAsia="宋体" w:cs="Times New Roman"/>
            </w:rPr>
            <w:fldChar w:fldCharType="separate"/>
          </w:r>
          <w:r>
            <w:rPr>
              <w:rFonts w:hint="default" w:ascii="Times New Roman" w:hAnsi="Times New Roman" w:cs="Times New Roman"/>
            </w:rPr>
            <w:t>第1章 环境保护设施设计、施工和验收过程简况</w:t>
          </w:r>
          <w:r>
            <w:tab/>
          </w:r>
          <w:r>
            <w:fldChar w:fldCharType="begin"/>
          </w:r>
          <w:r>
            <w:instrText xml:space="preserve"> PAGEREF _Toc6236 \h </w:instrText>
          </w:r>
          <w:r>
            <w:fldChar w:fldCharType="separate"/>
          </w:r>
          <w:r>
            <w:t>41</w:t>
          </w:r>
          <w:r>
            <w:fldChar w:fldCharType="end"/>
          </w:r>
          <w:r>
            <w:rPr>
              <w:rFonts w:ascii="Times New Roman" w:hAnsi="Times New Roman" w:eastAsia="宋体" w:cs="Times New Roman"/>
            </w:rPr>
            <w:fldChar w:fldCharType="end"/>
          </w:r>
        </w:p>
        <w:p w14:paraId="744A203D">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_Toc3258 </w:instrText>
          </w:r>
          <w:r>
            <w:rPr>
              <w:rFonts w:ascii="Times New Roman" w:hAnsi="Times New Roman" w:eastAsia="宋体" w:cs="Times New Roman"/>
            </w:rPr>
            <w:fldChar w:fldCharType="separate"/>
          </w:r>
          <w:r>
            <w:rPr>
              <w:rFonts w:hint="default" w:ascii="Times New Roman" w:hAnsi="Times New Roman" w:cs="Times New Roman"/>
              <w:szCs w:val="30"/>
            </w:rPr>
            <w:t>1.1设计简况</w:t>
          </w:r>
          <w:r>
            <w:tab/>
          </w:r>
          <w:r>
            <w:fldChar w:fldCharType="begin"/>
          </w:r>
          <w:r>
            <w:instrText xml:space="preserve"> PAGEREF _Toc3258 \h </w:instrText>
          </w:r>
          <w:r>
            <w:fldChar w:fldCharType="separate"/>
          </w:r>
          <w:r>
            <w:t>41</w:t>
          </w:r>
          <w:r>
            <w:fldChar w:fldCharType="end"/>
          </w:r>
          <w:r>
            <w:rPr>
              <w:rFonts w:ascii="Times New Roman" w:hAnsi="Times New Roman" w:eastAsia="宋体" w:cs="Times New Roman"/>
            </w:rPr>
            <w:fldChar w:fldCharType="end"/>
          </w:r>
        </w:p>
        <w:p w14:paraId="22FEDA43">
          <w:pPr>
            <w:pStyle w:val="29"/>
            <w:tabs>
              <w:tab w:val="right" w:leader="dot" w:pos="862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_Toc19405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1.2施工简况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_Toc19405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14:paraId="431409F6">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_Toc21177 </w:instrText>
          </w:r>
          <w:r>
            <w:rPr>
              <w:rFonts w:ascii="Times New Roman" w:hAnsi="Times New Roman" w:eastAsia="宋体" w:cs="Times New Roman"/>
            </w:rPr>
            <w:fldChar w:fldCharType="separate"/>
          </w:r>
          <w:r>
            <w:rPr>
              <w:rFonts w:hint="default" w:ascii="Times New Roman" w:hAnsi="Times New Roman" w:eastAsia="宋体" w:cs="Times New Roman"/>
              <w:szCs w:val="28"/>
            </w:rPr>
            <w:t>1.3验收过程简况</w:t>
          </w:r>
          <w:r>
            <w:tab/>
          </w:r>
          <w:r>
            <w:fldChar w:fldCharType="begin"/>
          </w:r>
          <w:r>
            <w:instrText xml:space="preserve"> PAGEREF _Toc21177 \h </w:instrText>
          </w:r>
          <w:r>
            <w:fldChar w:fldCharType="separate"/>
          </w:r>
          <w:r>
            <w:t>41</w:t>
          </w:r>
          <w:r>
            <w:fldChar w:fldCharType="end"/>
          </w:r>
          <w:r>
            <w:rPr>
              <w:rFonts w:ascii="Times New Roman" w:hAnsi="Times New Roman" w:eastAsia="宋体" w:cs="Times New Roman"/>
            </w:rPr>
            <w:fldChar w:fldCharType="end"/>
          </w:r>
        </w:p>
        <w:p w14:paraId="1C66EBD1">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_Toc26487 </w:instrText>
          </w:r>
          <w:r>
            <w:rPr>
              <w:rFonts w:ascii="Times New Roman" w:hAnsi="Times New Roman" w:eastAsia="宋体" w:cs="Times New Roman"/>
            </w:rPr>
            <w:fldChar w:fldCharType="separate"/>
          </w:r>
          <w:r>
            <w:rPr>
              <w:rFonts w:hint="default" w:ascii="Times New Roman" w:hAnsi="Times New Roman" w:eastAsia="宋体" w:cs="Times New Roman"/>
              <w:szCs w:val="28"/>
            </w:rPr>
            <w:t>1.4公众反馈意见及处理情况</w:t>
          </w:r>
          <w:r>
            <w:tab/>
          </w:r>
          <w:r>
            <w:fldChar w:fldCharType="begin"/>
          </w:r>
          <w:r>
            <w:instrText xml:space="preserve"> PAGEREF _Toc26487 \h </w:instrText>
          </w:r>
          <w:r>
            <w:fldChar w:fldCharType="separate"/>
          </w:r>
          <w:r>
            <w:t>41</w:t>
          </w:r>
          <w:r>
            <w:fldChar w:fldCharType="end"/>
          </w:r>
          <w:r>
            <w:rPr>
              <w:rFonts w:ascii="Times New Roman" w:hAnsi="Times New Roman" w:eastAsia="宋体" w:cs="Times New Roman"/>
            </w:rPr>
            <w:fldChar w:fldCharType="end"/>
          </w:r>
        </w:p>
        <w:p w14:paraId="06E132D7">
          <w:pPr>
            <w:pStyle w:val="24"/>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_Toc2792 </w:instrText>
          </w:r>
          <w:r>
            <w:rPr>
              <w:rFonts w:ascii="Times New Roman" w:hAnsi="Times New Roman" w:eastAsia="宋体" w:cs="Times New Roman"/>
            </w:rPr>
            <w:fldChar w:fldCharType="separate"/>
          </w:r>
          <w:r>
            <w:rPr>
              <w:rFonts w:hint="default" w:ascii="Times New Roman" w:hAnsi="Times New Roman" w:eastAsia="宋体" w:cs="Times New Roman"/>
              <w:szCs w:val="28"/>
            </w:rPr>
            <w:t>第2章 其他环境保护措施的落实情况</w:t>
          </w:r>
          <w:r>
            <w:tab/>
          </w:r>
          <w:r>
            <w:fldChar w:fldCharType="begin"/>
          </w:r>
          <w:r>
            <w:instrText xml:space="preserve"> PAGEREF _Toc2792 \h </w:instrText>
          </w:r>
          <w:r>
            <w:fldChar w:fldCharType="separate"/>
          </w:r>
          <w:r>
            <w:t>42</w:t>
          </w:r>
          <w:r>
            <w:fldChar w:fldCharType="end"/>
          </w:r>
          <w:r>
            <w:rPr>
              <w:rFonts w:ascii="Times New Roman" w:hAnsi="Times New Roman" w:eastAsia="宋体" w:cs="Times New Roman"/>
            </w:rPr>
            <w:fldChar w:fldCharType="end"/>
          </w:r>
        </w:p>
        <w:p w14:paraId="2E26452F">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_Toc8453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2.1制度措施落实情况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_Toc8453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42</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1AD55ABB">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_Toc11534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szCs w:val="28"/>
            </w:rPr>
            <w:t>2.2</w:t>
          </w:r>
          <w:r>
            <w:rPr>
              <w:rFonts w:hint="eastAsia" w:ascii="Times New Roman" w:hAnsi="Times New Roman" w:eastAsia="宋体" w:cs="Times New Roman"/>
              <w:szCs w:val="28"/>
              <w:lang w:val="en-US" w:eastAsia="zh-CN"/>
            </w:rPr>
            <w:t>居民搬迁情况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_Toc11534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43</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1319D42E">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_Toc28356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szCs w:val="28"/>
            </w:rPr>
            <w:t>2.3其他措施落实情况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_Toc28356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43</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5ECD6AB5">
          <w:pPr>
            <w:pStyle w:val="29"/>
            <w:tabs>
              <w:tab w:val="right" w:leader="dot" w:pos="8620"/>
            </w:tabs>
            <w:ind w:left="0" w:leftChars="0" w:firstLine="0" w:firstLineChars="0"/>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_Toc17758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 xml:space="preserve">建设项目竣工环境保护 </w:t>
          </w:r>
          <w:r>
            <w:rPr>
              <w:rFonts w:hint="eastAsia" w:ascii="Times New Roman" w:hAnsi="Times New Roman" w:eastAsia="宋体" w:cs="Times New Roman"/>
              <w:szCs w:val="28"/>
              <w:lang w:eastAsia="zh-CN"/>
            </w:rPr>
            <w:t>“</w:t>
          </w:r>
          <w:r>
            <w:rPr>
              <w:rFonts w:hint="default" w:ascii="Times New Roman" w:hAnsi="Times New Roman" w:eastAsia="宋体" w:cs="Times New Roman"/>
              <w:szCs w:val="28"/>
            </w:rPr>
            <w:t xml:space="preserve"> 三同时 </w:t>
          </w:r>
          <w:r>
            <w:rPr>
              <w:rFonts w:hint="eastAsia" w:ascii="Times New Roman" w:hAnsi="Times New Roman" w:eastAsia="宋体" w:cs="Times New Roman"/>
              <w:szCs w:val="28"/>
              <w:lang w:eastAsia="zh-CN"/>
            </w:rPr>
            <w:t>”</w:t>
          </w:r>
          <w:r>
            <w:rPr>
              <w:rFonts w:hint="default" w:ascii="Times New Roman" w:hAnsi="Times New Roman" w:eastAsia="宋体" w:cs="Times New Roman"/>
              <w:szCs w:val="28"/>
            </w:rPr>
            <w:t>验收登记表</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_Toc17758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44</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6992D42D">
          <w:pPr>
            <w:pStyle w:val="29"/>
            <w:tabs>
              <w:tab w:val="right" w:leader="dot" w:pos="8620"/>
            </w:tabs>
            <w:ind w:left="0" w:leftChars="0" w:firstLine="0" w:firstLineChars="0"/>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_Toc27000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附件</w:t>
          </w:r>
          <w:r>
            <w:rPr>
              <w:rFonts w:hint="eastAsia" w:ascii="Times New Roman" w:hAnsi="Times New Roman" w:eastAsia="宋体" w:cs="Times New Roman"/>
              <w:szCs w:val="28"/>
              <w:lang w:val="en-US" w:eastAsia="zh-CN"/>
            </w:rPr>
            <w:t>1</w:t>
          </w:r>
          <w:r>
            <w:rPr>
              <w:rFonts w:hint="default" w:ascii="Times New Roman" w:hAnsi="Times New Roman" w:eastAsia="宋体" w:cs="Times New Roman"/>
              <w:szCs w:val="28"/>
            </w:rPr>
            <w:t>：环评批复</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_Toc27000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46</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0464C9A1">
          <w:pPr>
            <w:pStyle w:val="29"/>
            <w:tabs>
              <w:tab w:val="right" w:leader="dot" w:pos="8620"/>
            </w:tabs>
            <w:ind w:left="0" w:leftChars="0" w:firstLine="0" w:firstLineChars="0"/>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_Toc10372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附件</w:t>
          </w:r>
          <w:r>
            <w:rPr>
              <w:rFonts w:hint="eastAsia" w:ascii="Times New Roman" w:hAnsi="Times New Roman" w:eastAsia="宋体" w:cs="Times New Roman"/>
              <w:szCs w:val="28"/>
              <w:lang w:val="en-US" w:eastAsia="zh-CN"/>
            </w:rPr>
            <w:t>2</w:t>
          </w:r>
          <w:r>
            <w:rPr>
              <w:rFonts w:hint="default" w:ascii="Times New Roman" w:hAnsi="Times New Roman" w:eastAsia="宋体" w:cs="Times New Roman"/>
              <w:szCs w:val="28"/>
            </w:rPr>
            <w:t>：</w:t>
          </w:r>
          <w:r>
            <w:rPr>
              <w:rFonts w:hint="default" w:ascii="Times New Roman" w:hAnsi="Times New Roman" w:eastAsia="宋体" w:cs="Times New Roman"/>
              <w:szCs w:val="28"/>
              <w:lang w:val="en-US" w:eastAsia="zh-CN"/>
            </w:rPr>
            <w:t>备案证明</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_Toc10372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48</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14:paraId="6AA09188">
          <w:pPr>
            <w:pStyle w:val="29"/>
            <w:tabs>
              <w:tab w:val="right" w:leader="dot" w:pos="8620"/>
            </w:tabs>
            <w:ind w:left="0" w:leftChars="0" w:firstLine="0" w:firstLineChars="0"/>
            <w:rPr>
              <w:rFonts w:hint="default" w:ascii="Times New Roman" w:hAnsi="Times New Roman" w:eastAsia="宋体" w:cs="Times New Roman"/>
              <w:szCs w:val="28"/>
              <w:lang w:val="en-US" w:eastAsia="zh-CN"/>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_Toc25191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lang w:val="en-US" w:eastAsia="zh-CN"/>
            </w:rPr>
            <w:t>附件</w:t>
          </w:r>
          <w:r>
            <w:rPr>
              <w:rFonts w:hint="eastAsia" w:ascii="Times New Roman" w:hAnsi="Times New Roman" w:eastAsia="宋体" w:cs="Times New Roman"/>
              <w:szCs w:val="28"/>
              <w:lang w:val="en-US" w:eastAsia="zh-CN"/>
            </w:rPr>
            <w:t>3：</w:t>
          </w:r>
          <w:r>
            <w:rPr>
              <w:rFonts w:hint="default" w:ascii="Times New Roman" w:hAnsi="Times New Roman" w:eastAsia="宋体" w:cs="Times New Roman"/>
              <w:szCs w:val="28"/>
              <w:lang w:val="en-US" w:eastAsia="zh-CN"/>
            </w:rPr>
            <w:t>排污许可证</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end"/>
          </w:r>
          <w:r>
            <w:rPr>
              <w:rFonts w:hint="eastAsia" w:ascii="Times New Roman" w:hAnsi="Times New Roman" w:eastAsia="宋体" w:cs="Times New Roman"/>
              <w:szCs w:val="28"/>
              <w:lang w:val="en-US" w:eastAsia="zh-CN"/>
            </w:rPr>
            <w:t>49</w:t>
          </w:r>
        </w:p>
        <w:p w14:paraId="2A38F2A7">
          <w:pPr>
            <w:pStyle w:val="29"/>
            <w:tabs>
              <w:tab w:val="right" w:leader="dot" w:pos="8620"/>
            </w:tabs>
            <w:ind w:left="0" w:leftChars="0" w:firstLine="0" w:firstLineChars="0"/>
            <w:rPr>
              <w:rFonts w:hint="default" w:ascii="Times New Roman" w:hAnsi="Times New Roman" w:eastAsia="宋体" w:cs="Times New Roman"/>
              <w:szCs w:val="28"/>
              <w:lang w:val="en-US" w:eastAsia="zh-CN"/>
            </w:rPr>
          </w:pPr>
          <w:r>
            <w:rPr>
              <w:rFonts w:hint="eastAsia" w:ascii="Times New Roman" w:hAnsi="Times New Roman" w:eastAsia="宋体" w:cs="Times New Roman"/>
              <w:szCs w:val="28"/>
              <w:lang w:val="en-US" w:eastAsia="zh-CN"/>
            </w:rPr>
            <w:t>附件4：危废暂存间.............................................................................................................................50</w:t>
          </w:r>
        </w:p>
        <w:p w14:paraId="4574DC4D">
          <w:pPr>
            <w:pStyle w:val="29"/>
            <w:tabs>
              <w:tab w:val="right" w:leader="dot" w:pos="8620"/>
            </w:tabs>
            <w:ind w:left="0" w:leftChars="0" w:firstLine="0" w:firstLineChars="0"/>
            <w:rPr>
              <w:rFonts w:hint="eastAsia" w:eastAsia="宋体"/>
              <w:lang w:val="en-US" w:eastAsia="zh-CN"/>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_Toc7873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lang w:val="en-US" w:eastAsia="zh-CN"/>
            </w:rPr>
            <w:t>附件</w:t>
          </w:r>
          <w:r>
            <w:rPr>
              <w:rFonts w:hint="eastAsia" w:ascii="Times New Roman" w:hAnsi="Times New Roman" w:eastAsia="宋体" w:cs="Times New Roman"/>
              <w:szCs w:val="28"/>
              <w:lang w:val="en-US" w:eastAsia="zh-CN"/>
            </w:rPr>
            <w:t>5</w:t>
          </w:r>
          <w:r>
            <w:rPr>
              <w:rFonts w:hint="default" w:ascii="Times New Roman" w:hAnsi="Times New Roman" w:eastAsia="宋体" w:cs="Times New Roman"/>
              <w:szCs w:val="28"/>
              <w:lang w:val="en-US" w:eastAsia="zh-CN"/>
            </w:rPr>
            <w:t>：监测报告</w:t>
          </w:r>
          <w:r>
            <w:rPr>
              <w:rFonts w:hint="default" w:ascii="Times New Roman" w:hAnsi="Times New Roman" w:eastAsia="宋体" w:cs="Times New Roman"/>
              <w:szCs w:val="28"/>
            </w:rPr>
            <w:tab/>
          </w:r>
          <w:r>
            <w:rPr>
              <w:rFonts w:hint="eastAsia" w:ascii="Times New Roman" w:hAnsi="Times New Roman" w:eastAsia="宋体" w:cs="Times New Roman"/>
              <w:szCs w:val="28"/>
              <w:lang w:val="en-US" w:eastAsia="zh-CN"/>
            </w:rPr>
            <w:t>5</w:t>
          </w:r>
          <w:r>
            <w:rPr>
              <w:rFonts w:hint="default" w:ascii="Times New Roman" w:hAnsi="Times New Roman" w:eastAsia="宋体" w:cs="Times New Roman"/>
              <w:szCs w:val="28"/>
            </w:rPr>
            <w:fldChar w:fldCharType="end"/>
          </w:r>
          <w:r>
            <w:rPr>
              <w:rFonts w:hint="eastAsia" w:ascii="Times New Roman" w:hAnsi="Times New Roman" w:eastAsia="宋体" w:cs="Times New Roman"/>
              <w:szCs w:val="28"/>
              <w:lang w:val="en-US" w:eastAsia="zh-CN"/>
            </w:rPr>
            <w:t>9</w:t>
          </w:r>
        </w:p>
        <w:p w14:paraId="702EC181">
          <w:pPr>
            <w:pStyle w:val="29"/>
            <w:tabs>
              <w:tab w:val="right" w:leader="dot" w:pos="8610"/>
            </w:tabs>
            <w:snapToGrid w:val="0"/>
            <w:spacing w:line="360" w:lineRule="auto"/>
            <w:rPr>
              <w:rFonts w:ascii="Times New Roman" w:hAnsi="Times New Roman" w:eastAsia="宋体" w:cs="Times New Roman"/>
            </w:rPr>
          </w:pPr>
          <w:r>
            <w:rPr>
              <w:rFonts w:ascii="Times New Roman" w:hAnsi="Times New Roman" w:eastAsia="宋体" w:cs="Times New Roman"/>
            </w:rPr>
            <w:fldChar w:fldCharType="end"/>
          </w:r>
        </w:p>
      </w:sdtContent>
    </w:sdt>
    <w:p w14:paraId="0D7ED878">
      <w:pPr>
        <w:spacing w:line="360" w:lineRule="auto"/>
        <w:rPr>
          <w:rFonts w:ascii="Times New Roman" w:hAnsi="Times New Roman" w:eastAsia="宋体"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5890E2F">
      <w:pPr>
        <w:pStyle w:val="50"/>
        <w:spacing w:line="360" w:lineRule="auto"/>
        <w:ind w:left="-210" w:leftChars="-100" w:firstLine="0" w:firstLineChars="0"/>
        <w:jc w:val="center"/>
        <w:outlineLvl w:val="0"/>
        <w:rPr>
          <w:rFonts w:ascii="Times New Roman" w:hAnsi="Times New Roman" w:eastAsia="宋体" w:cs="Times New Roman"/>
          <w:b/>
          <w:sz w:val="32"/>
          <w:szCs w:val="32"/>
        </w:rPr>
      </w:pPr>
      <w:bookmarkStart w:id="0" w:name="_Toc10125"/>
      <w:r>
        <w:rPr>
          <w:rFonts w:ascii="Times New Roman" w:hAnsi="Times New Roman" w:eastAsia="宋体" w:cs="Times New Roman"/>
          <w:b/>
          <w:sz w:val="32"/>
          <w:szCs w:val="32"/>
        </w:rPr>
        <w:t>1、验收项目概况</w:t>
      </w:r>
      <w:bookmarkEnd w:id="0"/>
    </w:p>
    <w:p w14:paraId="493E0D23">
      <w:pPr>
        <w:pStyle w:val="50"/>
        <w:spacing w:line="360" w:lineRule="auto"/>
        <w:ind w:firstLine="0" w:firstLineChars="0"/>
        <w:jc w:val="left"/>
        <w:outlineLvl w:val="1"/>
        <w:rPr>
          <w:rFonts w:ascii="Times New Roman" w:hAnsi="Times New Roman" w:eastAsia="宋体" w:cs="Times New Roman"/>
          <w:b/>
          <w:sz w:val="28"/>
          <w:szCs w:val="32"/>
        </w:rPr>
      </w:pPr>
      <w:bookmarkStart w:id="1" w:name="_Toc17640"/>
      <w:r>
        <w:rPr>
          <w:rFonts w:ascii="Times New Roman" w:hAnsi="Times New Roman" w:eastAsia="宋体" w:cs="Times New Roman"/>
          <w:b/>
          <w:sz w:val="28"/>
          <w:szCs w:val="32"/>
        </w:rPr>
        <w:t>1.1验收项目基本情况</w:t>
      </w:r>
      <w:bookmarkEnd w:id="1"/>
    </w:p>
    <w:p w14:paraId="473F8F0B">
      <w:pPr>
        <w:pStyle w:val="16"/>
        <w:numPr>
          <w:ilvl w:val="0"/>
          <w:numId w:val="0"/>
        </w:num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项目名称：</w:t>
      </w:r>
      <w:r>
        <w:rPr>
          <w:rFonts w:hint="default" w:ascii="Times New Roman" w:hAnsi="Times New Roman" w:eastAsia="宋体" w:cs="Times New Roman"/>
          <w:sz w:val="24"/>
          <w:szCs w:val="24"/>
        </w:rPr>
        <w:t>年产20000吨食品添加剂项目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一期</w:t>
      </w:r>
      <w:r>
        <w:rPr>
          <w:rFonts w:hint="eastAsia" w:ascii="Times New Roman" w:hAnsi="Times New Roman" w:eastAsia="宋体" w:cs="Times New Roman"/>
          <w:sz w:val="24"/>
          <w:szCs w:val="24"/>
          <w:lang w:eastAsia="zh-CN"/>
        </w:rPr>
        <w:t>）</w:t>
      </w:r>
    </w:p>
    <w:p w14:paraId="4E9BABA1">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w:t>
      </w:r>
      <w:r>
        <w:rPr>
          <w:rFonts w:hint="default" w:ascii="Times New Roman" w:hAnsi="Times New Roman" w:eastAsia="宋体" w:cs="Times New Roman"/>
          <w:b w:val="0"/>
          <w:bCs/>
          <w:sz w:val="24"/>
          <w:szCs w:val="24"/>
          <w:lang w:val="en-US" w:eastAsia="zh-CN"/>
        </w:rPr>
        <w:t>山东瑞盟生物科技有限公</w:t>
      </w:r>
      <w:r>
        <w:rPr>
          <w:rFonts w:hint="eastAsia" w:ascii="Times New Roman" w:hAnsi="Times New Roman" w:eastAsia="宋体" w:cs="Times New Roman"/>
          <w:b w:val="0"/>
          <w:bCs/>
          <w:sz w:val="24"/>
          <w:szCs w:val="24"/>
          <w:lang w:val="en-US" w:eastAsia="zh-CN"/>
        </w:rPr>
        <w:t>司</w:t>
      </w:r>
    </w:p>
    <w:p w14:paraId="2B2A7534">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建设地点：</w:t>
      </w:r>
      <w:r>
        <w:rPr>
          <w:rFonts w:hint="eastAsia" w:eastAsia="宋体"/>
          <w:sz w:val="24"/>
          <w:lang w:eastAsia="zh-CN"/>
        </w:rPr>
        <w:t>山东省菏泽市</w:t>
      </w:r>
      <w:r>
        <w:rPr>
          <w:rFonts w:hint="eastAsia" w:eastAsia="宋体"/>
          <w:sz w:val="24"/>
          <w:lang w:val="en-US" w:eastAsia="zh-CN"/>
        </w:rPr>
        <w:t>成武县大田集镇港航产业园内</w:t>
      </w:r>
      <w:r>
        <w:rPr>
          <w:rFonts w:hint="eastAsia" w:ascii="Times New Roman" w:hAnsi="Times New Roman" w:eastAsia="宋体" w:cs="Times New Roman"/>
          <w:sz w:val="24"/>
          <w:szCs w:val="24"/>
          <w:lang w:val="en-US" w:eastAsia="zh-CN"/>
        </w:rPr>
        <w:t>。</w:t>
      </w:r>
    </w:p>
    <w:p w14:paraId="2456C233">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建设性质：新建</w:t>
      </w:r>
    </w:p>
    <w:p w14:paraId="61B3E992">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建设内容：</w:t>
      </w:r>
      <w:r>
        <w:rPr>
          <w:rFonts w:hint="eastAsia" w:ascii="Times New Roman" w:hAnsi="Times New Roman" w:eastAsia="宋体" w:cs="Times New Roman"/>
          <w:sz w:val="24"/>
          <w:szCs w:val="24"/>
          <w:lang w:val="en-US" w:eastAsia="zh-CN"/>
        </w:rPr>
        <w:t>本项目一期建设内容有醋酸生产车间、塑料包装车间、产品仓库、包材车间、应急水池、办公楼等设施</w:t>
      </w:r>
      <w:r>
        <w:rPr>
          <w:rFonts w:hint="default" w:ascii="Times New Roman" w:hAnsi="Times New Roman" w:eastAsia="宋体" w:cs="Times New Roman"/>
          <w:sz w:val="24"/>
          <w:szCs w:val="24"/>
          <w:lang w:val="en-US" w:eastAsia="zh-CN"/>
        </w:rPr>
        <w:t>。</w:t>
      </w:r>
    </w:p>
    <w:p w14:paraId="360CFCC0">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生产规模：</w:t>
      </w:r>
      <w:r>
        <w:rPr>
          <w:rFonts w:hint="eastAsia" w:ascii="Times New Roman" w:hAnsi="Times New Roman" w:eastAsia="宋体" w:cs="Times New Roman"/>
          <w:sz w:val="24"/>
          <w:szCs w:val="24"/>
          <w:lang w:val="en-US" w:eastAsia="zh-CN"/>
        </w:rPr>
        <w:t>年产10000吨食品添加剂项目</w:t>
      </w:r>
    </w:p>
    <w:p w14:paraId="7C92A168">
      <w:pPr>
        <w:pStyle w:val="16"/>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项目投资：项目总投资</w:t>
      </w:r>
      <w:r>
        <w:rPr>
          <w:rFonts w:hint="eastAsia" w:ascii="Times New Roman" w:hAnsi="Times New Roman" w:eastAsia="宋体" w:cs="Times New Roman"/>
          <w:sz w:val="24"/>
          <w:szCs w:val="24"/>
          <w:lang w:val="en-US" w:eastAsia="zh-CN"/>
        </w:rPr>
        <w:t>22000</w:t>
      </w:r>
      <w:r>
        <w:rPr>
          <w:rFonts w:hint="default" w:ascii="Times New Roman" w:hAnsi="Times New Roman" w:eastAsia="宋体" w:cs="Times New Roman"/>
          <w:sz w:val="24"/>
          <w:szCs w:val="24"/>
          <w:lang w:val="en-US" w:eastAsia="zh-CN"/>
        </w:rPr>
        <w:t>万元，环保投资</w:t>
      </w:r>
      <w:r>
        <w:rPr>
          <w:rFonts w:hint="eastAsia" w:ascii="Times New Roman" w:hAnsi="Times New Roman" w:eastAsia="宋体" w:cs="Times New Roman"/>
          <w:sz w:val="24"/>
          <w:szCs w:val="24"/>
          <w:lang w:val="en-US" w:eastAsia="zh-CN"/>
        </w:rPr>
        <w:t>1100</w:t>
      </w:r>
      <w:r>
        <w:rPr>
          <w:rFonts w:hint="default" w:ascii="Times New Roman" w:hAnsi="Times New Roman" w:eastAsia="宋体" w:cs="Times New Roman"/>
          <w:sz w:val="24"/>
          <w:szCs w:val="24"/>
          <w:lang w:val="en-US" w:eastAsia="zh-CN"/>
        </w:rPr>
        <w:t>万元。</w:t>
      </w:r>
    </w:p>
    <w:p w14:paraId="1A4703DE">
      <w:pPr>
        <w:pStyle w:val="13"/>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竣工投产时间：</w:t>
      </w:r>
      <w:r>
        <w:rPr>
          <w:rFonts w:hint="default" w:ascii="Times New Roman" w:hAnsi="Times New Roman" w:eastAsia="宋体" w:cs="Times New Roman"/>
          <w:b w:val="0"/>
          <w:bCs w:val="0"/>
          <w:color w:val="auto"/>
          <w:sz w:val="24"/>
          <w:szCs w:val="24"/>
          <w:lang w:val="en-US" w:eastAsia="zh-CN"/>
        </w:rPr>
        <w:t>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月</w:t>
      </w:r>
    </w:p>
    <w:p w14:paraId="5270C2AB">
      <w:pPr>
        <w:adjustRightInd w:val="0"/>
        <w:snapToGrid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环评情况：</w:t>
      </w:r>
      <w:r>
        <w:rPr>
          <w:rFonts w:hint="eastAsia" w:ascii="Times New Roman" w:hAnsi="Times New Roman" w:eastAsia="宋体" w:cs="Times New Roman"/>
          <w:b w:val="0"/>
          <w:bCs w:val="0"/>
          <w:sz w:val="24"/>
          <w:szCs w:val="24"/>
          <w:lang w:val="en-US" w:eastAsia="zh-CN"/>
        </w:rPr>
        <w:t>山东瑞盟生物科技有限公司</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年委托</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山东省环境保护科学研究设计院有限公司</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年产20000吨食品添加剂建设</w:t>
      </w:r>
      <w:r>
        <w:rPr>
          <w:rFonts w:hint="eastAsia" w:ascii="Times New Roman" w:hAnsi="Times New Roman" w:eastAsia="宋体" w:cs="Times New Roman"/>
          <w:b w:val="0"/>
          <w:bCs w:val="0"/>
          <w:sz w:val="24"/>
          <w:szCs w:val="24"/>
          <w:lang w:eastAsia="zh-CN"/>
        </w:rPr>
        <w:t>项目</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该项目于202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年取得《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山东瑞盟生物科技有限公司</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年产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20000吨食品添加剂</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环境影响报告表的批复》</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菏成</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环审【202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57</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3月2日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组织专家评审通过了</w:t>
      </w:r>
      <w:r>
        <w:rPr>
          <w:rFonts w:hint="eastAsia" w:ascii="Times New Roman" w:hAnsi="Times New Roman" w:eastAsia="宋体" w:cs="Times New Roman"/>
          <w:b w:val="0"/>
          <w:bCs w:val="0"/>
          <w:sz w:val="24"/>
          <w:szCs w:val="24"/>
          <w:lang w:val="en-US" w:eastAsia="zh-CN"/>
        </w:rPr>
        <w:t>山东瑞盟生物科技有限公司</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年产20000吨食品添加剂建设</w:t>
      </w:r>
      <w:r>
        <w:rPr>
          <w:rFonts w:hint="eastAsia" w:ascii="Times New Roman" w:hAnsi="Times New Roman" w:eastAsia="宋体" w:cs="Times New Roman"/>
          <w:b w:val="0"/>
          <w:bCs w:val="0"/>
          <w:sz w:val="24"/>
          <w:szCs w:val="24"/>
          <w:lang w:eastAsia="zh-CN"/>
        </w:rPr>
        <w:t>项目（</w:t>
      </w:r>
      <w:r>
        <w:rPr>
          <w:rFonts w:hint="eastAsia" w:ascii="Times New Roman" w:hAnsi="Times New Roman" w:eastAsia="宋体" w:cs="Times New Roman"/>
          <w:b w:val="0"/>
          <w:bCs w:val="0"/>
          <w:sz w:val="24"/>
          <w:szCs w:val="24"/>
          <w:lang w:val="en-US" w:eastAsia="zh-CN"/>
        </w:rPr>
        <w:t>一期</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竣工环境保护验收报告验收验收意见，</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山东瑞盟生物科技有限公司</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于202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1月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取得排污许可证（</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简化</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管理）</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排污许可</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编号为：9137172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3MABXLCBD01Y001U。</w:t>
      </w:r>
    </w:p>
    <w:p w14:paraId="0570C82C">
      <w:pPr>
        <w:pStyle w:val="50"/>
        <w:spacing w:line="360" w:lineRule="auto"/>
        <w:ind w:firstLine="0" w:firstLineChars="0"/>
        <w:jc w:val="left"/>
        <w:outlineLvl w:val="1"/>
        <w:rPr>
          <w:rFonts w:hint="default" w:ascii="Times New Roman" w:hAnsi="Times New Roman" w:eastAsia="宋体" w:cs="Times New Roman"/>
          <w:b/>
          <w:color w:val="000000" w:themeColor="text1"/>
          <w:sz w:val="28"/>
          <w:szCs w:val="32"/>
          <w14:textFill>
            <w14:solidFill>
              <w14:schemeClr w14:val="tx1"/>
            </w14:solidFill>
          </w14:textFill>
        </w:rPr>
      </w:pPr>
      <w:bookmarkStart w:id="2" w:name="_Toc26503"/>
      <w:r>
        <w:rPr>
          <w:rFonts w:hint="default" w:ascii="Times New Roman" w:hAnsi="Times New Roman" w:eastAsia="宋体" w:cs="Times New Roman"/>
          <w:b/>
          <w:color w:val="000000" w:themeColor="text1"/>
          <w:sz w:val="28"/>
          <w:szCs w:val="32"/>
          <w14:textFill>
            <w14:solidFill>
              <w14:schemeClr w14:val="tx1"/>
            </w14:solidFill>
          </w14:textFill>
        </w:rPr>
        <w:t>1.2验收内容及目的</w:t>
      </w:r>
      <w:bookmarkEnd w:id="2"/>
    </w:p>
    <w:p w14:paraId="089EA0A7">
      <w:pPr>
        <w:pStyle w:val="50"/>
        <w:spacing w:line="360" w:lineRule="auto"/>
        <w:ind w:firstLine="0" w:firstLineChars="0"/>
        <w:jc w:val="left"/>
        <w:rPr>
          <w:rFonts w:hint="default" w:ascii="Times New Roman" w:hAnsi="Times New Roman" w:eastAsia="宋体" w:cs="Times New Roman"/>
          <w:b/>
          <w:color w:val="000000" w:themeColor="text1"/>
          <w:sz w:val="24"/>
          <w:szCs w:val="32"/>
          <w14:textFill>
            <w14:solidFill>
              <w14:schemeClr w14:val="tx1"/>
            </w14:solidFill>
          </w14:textFill>
        </w:rPr>
      </w:pPr>
      <w:r>
        <w:rPr>
          <w:rFonts w:hint="default" w:ascii="Times New Roman" w:hAnsi="Times New Roman" w:eastAsia="宋体" w:cs="Times New Roman"/>
          <w:b/>
          <w:color w:val="000000" w:themeColor="text1"/>
          <w:sz w:val="24"/>
          <w:szCs w:val="32"/>
          <w14:textFill>
            <w14:solidFill>
              <w14:schemeClr w14:val="tx1"/>
            </w14:solidFill>
          </w14:textFill>
        </w:rPr>
        <w:t>1.2.1验收内容</w:t>
      </w:r>
    </w:p>
    <w:p w14:paraId="1EC1CB11">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核查项目在设计、施工和试运营阶段对设计文件、环评报告、环评批复及环评变更报告中所提出的环保措施的落实情况。</w:t>
      </w:r>
    </w:p>
    <w:p w14:paraId="073C6A8C">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核查项目实际建设内容、实际生产能力、产品内容及原辅料的使用情况。</w:t>
      </w:r>
    </w:p>
    <w:p w14:paraId="541E0A00">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核查项目各类污染物实际产生情况及采取的污染控制措施，分析各项污染控制措施实施的有效性；通过现场检查和实地监测，核查项目污染物达标排放情况及污染物排放总量的落实情况。</w:t>
      </w:r>
    </w:p>
    <w:p w14:paraId="59D33C3E">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核查项目环境风险防范措施和应急预案的制定和执行情况，核查环保管理制定和实施情况，相应的环保机构、人员和监测设备的配备情况。</w:t>
      </w:r>
    </w:p>
    <w:p w14:paraId="3CC72F74">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核查项目周边敏感保护目标分布及受影响情况；核查卫生防护距离内是否有新建环境敏感建筑物。</w:t>
      </w:r>
    </w:p>
    <w:p w14:paraId="4DD64CE7">
      <w:pPr>
        <w:pStyle w:val="50"/>
        <w:spacing w:line="360" w:lineRule="auto"/>
        <w:ind w:firstLine="0" w:firstLineChars="0"/>
        <w:jc w:val="left"/>
        <w:rPr>
          <w:rFonts w:hint="default" w:ascii="Times New Roman" w:hAnsi="Times New Roman" w:eastAsia="宋体" w:cs="Times New Roman"/>
          <w:b/>
          <w:color w:val="000000" w:themeColor="text1"/>
          <w:sz w:val="24"/>
          <w:szCs w:val="32"/>
          <w14:textFill>
            <w14:solidFill>
              <w14:schemeClr w14:val="tx1"/>
            </w14:solidFill>
          </w14:textFill>
        </w:rPr>
      </w:pPr>
      <w:r>
        <w:rPr>
          <w:rFonts w:hint="default" w:ascii="Times New Roman" w:hAnsi="Times New Roman" w:eastAsia="宋体" w:cs="Times New Roman"/>
          <w:b/>
          <w:color w:val="000000" w:themeColor="text1"/>
          <w:sz w:val="24"/>
          <w:szCs w:val="32"/>
          <w14:textFill>
            <w14:solidFill>
              <w14:schemeClr w14:val="tx1"/>
            </w14:solidFill>
          </w14:textFill>
        </w:rPr>
        <w:t>1.2.2验收范围</w:t>
      </w:r>
    </w:p>
    <w:p w14:paraId="0DF45E0E">
      <w:pPr>
        <w:pStyle w:val="86"/>
        <w:keepNext w:val="0"/>
        <w:keepLines w:val="0"/>
        <w:pageBreakBefore w:val="0"/>
        <w:widowControl w:val="0"/>
        <w:kinsoku/>
        <w:wordWrap/>
        <w:overflowPunct/>
        <w:topLinePunct w:val="0"/>
        <w:autoSpaceDE/>
        <w:autoSpaceDN/>
        <w:bidi w:val="0"/>
        <w:adjustRightInd/>
        <w:snapToGrid/>
        <w:spacing w:line="360" w:lineRule="auto"/>
        <w:ind w:firstLineChars="0"/>
        <w:textAlignment w:val="auto"/>
        <w:rPr>
          <w:rFonts w:hint="default" w:ascii="Times New Roman" w:hAnsi="Times New Roman" w:eastAsia="宋体" w:cs="Times New Roman"/>
          <w:color w:val="000000" w:themeColor="text1"/>
          <w:sz w:val="24"/>
          <w:szCs w:val="28"/>
          <w:lang w:val="en-US"/>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本次验收范围为</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年产20000吨食品添加剂项目（一期）</w:t>
      </w:r>
      <w:r>
        <w:rPr>
          <w:rFonts w:hint="default" w:ascii="Times New Roman" w:hAnsi="Times New Roman" w:eastAsia="宋体" w:cs="Times New Roman"/>
          <w:color w:val="000000" w:themeColor="text1"/>
          <w:sz w:val="24"/>
          <w:szCs w:val="28"/>
          <w14:textFill>
            <w14:solidFill>
              <w14:schemeClr w14:val="tx1"/>
            </w14:solidFill>
          </w14:textFill>
        </w:rPr>
        <w:t>建设内容及配套的环保设施，主要包括</w:t>
      </w:r>
      <w:r>
        <w:rPr>
          <w:rFonts w:hint="default" w:ascii="Times New Roman" w:hAnsi="Times New Roman" w:cs="Times New Roman"/>
          <w:sz w:val="24"/>
          <w:szCs w:val="24"/>
        </w:rPr>
        <w:t>生产线及附属设施</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以及配套的环保设备</w:t>
      </w:r>
      <w:r>
        <w:rPr>
          <w:rFonts w:hint="default" w:ascii="Times New Roman" w:hAnsi="Times New Roman" w:cs="Times New Roman"/>
          <w:color w:val="000000" w:themeColor="text1"/>
          <w:sz w:val="24"/>
          <w:szCs w:val="24"/>
          <w14:textFill>
            <w14:solidFill>
              <w14:schemeClr w14:val="tx1"/>
            </w14:solidFill>
          </w14:textFill>
        </w:rPr>
        <w:t>等。</w:t>
      </w:r>
    </w:p>
    <w:p w14:paraId="062F42E9">
      <w:pPr>
        <w:pStyle w:val="50"/>
        <w:spacing w:line="360" w:lineRule="auto"/>
        <w:ind w:firstLine="0" w:firstLineChars="0"/>
        <w:jc w:val="left"/>
        <w:rPr>
          <w:rFonts w:hint="default" w:ascii="Times New Roman" w:hAnsi="Times New Roman" w:eastAsia="宋体" w:cs="Times New Roman"/>
          <w:b/>
          <w:color w:val="000000" w:themeColor="text1"/>
          <w:sz w:val="24"/>
          <w:szCs w:val="32"/>
          <w14:textFill>
            <w14:solidFill>
              <w14:schemeClr w14:val="tx1"/>
            </w14:solidFill>
          </w14:textFill>
        </w:rPr>
      </w:pPr>
      <w:r>
        <w:rPr>
          <w:rFonts w:hint="default" w:ascii="Times New Roman" w:hAnsi="Times New Roman" w:eastAsia="宋体" w:cs="Times New Roman"/>
          <w:b/>
          <w:color w:val="000000" w:themeColor="text1"/>
          <w:sz w:val="24"/>
          <w:szCs w:val="32"/>
          <w14:textFill>
            <w14:solidFill>
              <w14:schemeClr w14:val="tx1"/>
            </w14:solidFill>
          </w14:textFill>
        </w:rPr>
        <w:t>1.2.3验收目的</w:t>
      </w:r>
    </w:p>
    <w:p w14:paraId="14C1B8FD">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14:paraId="4FF88AF6">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br w:type="page"/>
      </w:r>
    </w:p>
    <w:p w14:paraId="7DF7B095">
      <w:pPr>
        <w:pStyle w:val="50"/>
        <w:spacing w:line="360" w:lineRule="auto"/>
        <w:ind w:left="-210" w:leftChars="-100" w:firstLine="0" w:firstLineChars="0"/>
        <w:jc w:val="center"/>
        <w:outlineLvl w:val="0"/>
        <w:rPr>
          <w:rFonts w:ascii="Times New Roman" w:hAnsi="Times New Roman" w:eastAsia="宋体" w:cs="Times New Roman"/>
          <w:b/>
          <w:color w:val="000000" w:themeColor="text1"/>
          <w:sz w:val="32"/>
          <w:szCs w:val="32"/>
          <w14:textFill>
            <w14:solidFill>
              <w14:schemeClr w14:val="tx1"/>
            </w14:solidFill>
          </w14:textFill>
        </w:rPr>
      </w:pPr>
      <w:bookmarkStart w:id="3" w:name="_Toc21063"/>
      <w:r>
        <w:rPr>
          <w:rFonts w:ascii="Times New Roman" w:hAnsi="Times New Roman" w:eastAsia="宋体" w:cs="Times New Roman"/>
          <w:b/>
          <w:color w:val="000000" w:themeColor="text1"/>
          <w:sz w:val="32"/>
          <w:szCs w:val="32"/>
          <w14:textFill>
            <w14:solidFill>
              <w14:schemeClr w14:val="tx1"/>
            </w14:solidFill>
          </w14:textFill>
        </w:rPr>
        <w:t>2、验收依据</w:t>
      </w:r>
      <w:bookmarkEnd w:id="3"/>
    </w:p>
    <w:p w14:paraId="19C9E63C">
      <w:pPr>
        <w:pStyle w:val="50"/>
        <w:spacing w:line="360" w:lineRule="auto"/>
        <w:ind w:firstLine="0" w:firstLineChars="0"/>
        <w:jc w:val="left"/>
        <w:outlineLvl w:val="1"/>
        <w:rPr>
          <w:rFonts w:ascii="Times New Roman" w:hAnsi="Times New Roman" w:eastAsia="宋体" w:cs="Times New Roman"/>
          <w:b/>
          <w:color w:val="000000" w:themeColor="text1"/>
          <w:sz w:val="28"/>
          <w:szCs w:val="32"/>
          <w14:textFill>
            <w14:solidFill>
              <w14:schemeClr w14:val="tx1"/>
            </w14:solidFill>
          </w14:textFill>
        </w:rPr>
      </w:pPr>
      <w:bookmarkStart w:id="4" w:name="_Toc29635"/>
      <w:bookmarkStart w:id="5" w:name="_Toc502136283"/>
      <w:bookmarkStart w:id="6" w:name="_Toc4640"/>
      <w:r>
        <w:rPr>
          <w:rFonts w:ascii="Times New Roman" w:hAnsi="Times New Roman" w:eastAsia="宋体" w:cs="Times New Roman"/>
          <w:b/>
          <w:color w:val="000000" w:themeColor="text1"/>
          <w:sz w:val="28"/>
          <w:szCs w:val="32"/>
          <w14:textFill>
            <w14:solidFill>
              <w14:schemeClr w14:val="tx1"/>
            </w14:solidFill>
          </w14:textFill>
        </w:rPr>
        <w:t>2.1</w:t>
      </w:r>
      <w:bookmarkEnd w:id="4"/>
      <w:bookmarkStart w:id="7" w:name="_Toc501815002"/>
      <w:bookmarkStart w:id="8" w:name="_Toc502061656"/>
      <w:r>
        <w:rPr>
          <w:rFonts w:ascii="Times New Roman" w:hAnsi="Times New Roman" w:eastAsia="宋体" w:cs="Times New Roman"/>
          <w:b/>
          <w:color w:val="000000" w:themeColor="text1"/>
          <w:sz w:val="28"/>
          <w:szCs w:val="32"/>
          <w14:textFill>
            <w14:solidFill>
              <w14:schemeClr w14:val="tx1"/>
            </w14:solidFill>
          </w14:textFill>
        </w:rPr>
        <w:t>法律</w:t>
      </w:r>
      <w:bookmarkEnd w:id="7"/>
      <w:bookmarkEnd w:id="8"/>
      <w:r>
        <w:rPr>
          <w:rFonts w:ascii="Times New Roman" w:hAnsi="Times New Roman" w:eastAsia="宋体" w:cs="Times New Roman"/>
          <w:b/>
          <w:color w:val="000000" w:themeColor="text1"/>
          <w:sz w:val="28"/>
          <w:szCs w:val="32"/>
          <w14:textFill>
            <w14:solidFill>
              <w14:schemeClr w14:val="tx1"/>
            </w14:solidFill>
          </w14:textFill>
        </w:rPr>
        <w:t>依据</w:t>
      </w:r>
      <w:bookmarkEnd w:id="5"/>
      <w:bookmarkEnd w:id="6"/>
    </w:p>
    <w:p w14:paraId="3CB60647">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bookmarkStart w:id="9" w:name="_Toc502136284"/>
      <w:r>
        <w:rPr>
          <w:rFonts w:ascii="Times New Roman" w:hAnsi="Times New Roman" w:eastAsia="宋体" w:cs="Times New Roman"/>
          <w:color w:val="000000" w:themeColor="text1"/>
          <w:sz w:val="24"/>
          <w:szCs w:val="28"/>
          <w14:textFill>
            <w14:solidFill>
              <w14:schemeClr w14:val="tx1"/>
            </w14:solidFill>
          </w14:textFill>
        </w:rPr>
        <w:t>1、《中华人民共和国环境保护法》，（2015年1月1日起施行）；</w:t>
      </w:r>
    </w:p>
    <w:p w14:paraId="17669C79">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2、《中华人民共和国环境影响评价法》，（2018年12月29日，修订）；</w:t>
      </w:r>
    </w:p>
    <w:p w14:paraId="5BA535FB">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 xml:space="preserve">3、《中华人民共和国水污染防治法》（2018 </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年</w:t>
      </w:r>
      <w:r>
        <w:rPr>
          <w:rFonts w:ascii="Times New Roman" w:hAnsi="Times New Roman" w:eastAsia="宋体" w:cs="Times New Roman"/>
          <w:color w:val="000000" w:themeColor="text1"/>
          <w:sz w:val="24"/>
          <w:szCs w:val="28"/>
          <w14:textFill>
            <w14:solidFill>
              <w14:schemeClr w14:val="tx1"/>
            </w14:solidFill>
          </w14:textFill>
        </w:rPr>
        <w:t>1月1日起施行）；</w:t>
      </w:r>
    </w:p>
    <w:p w14:paraId="492351E1">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4、《中华人民共和国大气污染防治法》，（2018年10月26日，修订）；</w:t>
      </w:r>
    </w:p>
    <w:p w14:paraId="37C96F83">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5、《中华人民共和国环境噪声污染防治法》，（</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2022年06月06日，实施</w:t>
      </w:r>
      <w:r>
        <w:rPr>
          <w:rFonts w:ascii="Times New Roman" w:hAnsi="Times New Roman" w:eastAsia="宋体" w:cs="Times New Roman"/>
          <w:color w:val="000000" w:themeColor="text1"/>
          <w:sz w:val="24"/>
          <w:szCs w:val="28"/>
          <w14:textFill>
            <w14:solidFill>
              <w14:schemeClr w14:val="tx1"/>
            </w14:solidFill>
          </w14:textFill>
        </w:rPr>
        <w:t>）；</w:t>
      </w:r>
    </w:p>
    <w:p w14:paraId="7D860CBB">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6、《中华人民共和国固体废物污染环境防治法》，（2020年</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09</w:t>
      </w:r>
      <w:r>
        <w:rPr>
          <w:rFonts w:ascii="Times New Roman" w:hAnsi="Times New Roman" w:eastAsia="宋体" w:cs="Times New Roman"/>
          <w:color w:val="000000" w:themeColor="text1"/>
          <w:sz w:val="24"/>
          <w:szCs w:val="28"/>
          <w14:textFill>
            <w14:solidFill>
              <w14:schemeClr w14:val="tx1"/>
            </w14:solidFill>
          </w14:textFill>
        </w:rPr>
        <w:t>月</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01</w:t>
      </w:r>
      <w:r>
        <w:rPr>
          <w:rFonts w:ascii="Times New Roman" w:hAnsi="Times New Roman" w:eastAsia="宋体" w:cs="Times New Roman"/>
          <w:color w:val="000000" w:themeColor="text1"/>
          <w:sz w:val="24"/>
          <w:szCs w:val="28"/>
          <w14:textFill>
            <w14:solidFill>
              <w14:schemeClr w14:val="tx1"/>
            </w14:solidFill>
          </w14:textFill>
        </w:rPr>
        <w:t>日，</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施行</w:t>
      </w:r>
      <w:r>
        <w:rPr>
          <w:rFonts w:ascii="Times New Roman" w:hAnsi="Times New Roman" w:eastAsia="宋体" w:cs="Times New Roman"/>
          <w:color w:val="000000" w:themeColor="text1"/>
          <w:sz w:val="24"/>
          <w:szCs w:val="28"/>
          <w14:textFill>
            <w14:solidFill>
              <w14:schemeClr w14:val="tx1"/>
            </w14:solidFill>
          </w14:textFill>
        </w:rPr>
        <w:t>）；</w:t>
      </w:r>
    </w:p>
    <w:p w14:paraId="3015A5C7">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7、《建设项目环境保护管理条例》，（2017 年</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07</w:t>
      </w:r>
      <w:r>
        <w:rPr>
          <w:rFonts w:ascii="Times New Roman" w:hAnsi="Times New Roman" w:eastAsia="宋体" w:cs="Times New Roman"/>
          <w:color w:val="000000" w:themeColor="text1"/>
          <w:sz w:val="24"/>
          <w:szCs w:val="28"/>
          <w14:textFill>
            <w14:solidFill>
              <w14:schemeClr w14:val="tx1"/>
            </w14:solidFill>
          </w14:textFill>
        </w:rPr>
        <w:t>月</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16</w:t>
      </w:r>
      <w:r>
        <w:rPr>
          <w:rFonts w:ascii="Times New Roman" w:hAnsi="Times New Roman" w:eastAsia="宋体" w:cs="Times New Roman"/>
          <w:color w:val="000000" w:themeColor="text1"/>
          <w:sz w:val="24"/>
          <w:szCs w:val="28"/>
          <w14:textFill>
            <w14:solidFill>
              <w14:schemeClr w14:val="tx1"/>
            </w14:solidFill>
          </w14:textFill>
        </w:rPr>
        <w:t>日起施行）；</w:t>
      </w:r>
    </w:p>
    <w:p w14:paraId="046B89FE">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8、《建设项目环境影响评价分类管理名录》（2021年版）；</w:t>
      </w:r>
    </w:p>
    <w:p w14:paraId="2BBD3EC8">
      <w:pPr>
        <w:pStyle w:val="50"/>
        <w:spacing w:line="360" w:lineRule="auto"/>
        <w:ind w:firstLine="0" w:firstLineChars="0"/>
        <w:jc w:val="left"/>
        <w:outlineLvl w:val="1"/>
        <w:rPr>
          <w:rFonts w:ascii="Times New Roman" w:hAnsi="Times New Roman" w:eastAsia="宋体" w:cs="Times New Roman"/>
          <w:color w:val="000000" w:themeColor="text1"/>
          <w:sz w:val="24"/>
          <w:szCs w:val="28"/>
          <w14:textFill>
            <w14:solidFill>
              <w14:schemeClr w14:val="tx1"/>
            </w14:solidFill>
          </w14:textFill>
        </w:rPr>
      </w:pPr>
      <w:bookmarkStart w:id="10" w:name="_Toc10875"/>
      <w:r>
        <w:rPr>
          <w:rFonts w:ascii="Times New Roman" w:hAnsi="Times New Roman" w:eastAsia="宋体" w:cs="Times New Roman"/>
          <w:b/>
          <w:color w:val="000000" w:themeColor="text1"/>
          <w:sz w:val="28"/>
          <w:szCs w:val="32"/>
          <w14:textFill>
            <w14:solidFill>
              <w14:schemeClr w14:val="tx1"/>
            </w14:solidFill>
          </w14:textFill>
        </w:rPr>
        <w:t>2.2 验收技术规范</w:t>
      </w:r>
      <w:bookmarkEnd w:id="10"/>
    </w:p>
    <w:p w14:paraId="5CF44DF9">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1、《环境影响评价技术导则 总纲》（HJ 2.1-2016）；</w:t>
      </w:r>
    </w:p>
    <w:p w14:paraId="21BC6BDD">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2、《环境影响评价技术导则 大气环境》（HJ 2.2-2018）；</w:t>
      </w:r>
    </w:p>
    <w:p w14:paraId="1AD5EC8F">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3、《环境影响评价技术导则 地表水环境》（HJ 2.3-2018）；</w:t>
      </w:r>
    </w:p>
    <w:p w14:paraId="4D72974B">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4、《环境影响评价技术导则 地下水环境》（HJ 610-2016）；</w:t>
      </w:r>
    </w:p>
    <w:p w14:paraId="1BA66335">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5、《环境影响评价技术导则 声环境》（HJ 2.4-</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2021</w:t>
      </w:r>
      <w:r>
        <w:rPr>
          <w:rFonts w:ascii="Times New Roman" w:hAnsi="Times New Roman" w:eastAsia="宋体" w:cs="Times New Roman"/>
          <w:color w:val="000000" w:themeColor="text1"/>
          <w:sz w:val="24"/>
          <w:szCs w:val="28"/>
          <w14:textFill>
            <w14:solidFill>
              <w14:schemeClr w14:val="tx1"/>
            </w14:solidFill>
          </w14:textFill>
        </w:rPr>
        <w:t>）；</w:t>
      </w:r>
    </w:p>
    <w:p w14:paraId="7EE96170">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6、《环境影响评价技术导则 生态影响》（HJ 19-20</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22</w:t>
      </w:r>
      <w:r>
        <w:rPr>
          <w:rFonts w:ascii="Times New Roman" w:hAnsi="Times New Roman" w:eastAsia="宋体" w:cs="Times New Roman"/>
          <w:color w:val="000000" w:themeColor="text1"/>
          <w:sz w:val="24"/>
          <w:szCs w:val="28"/>
          <w14:textFill>
            <w14:solidFill>
              <w14:schemeClr w14:val="tx1"/>
            </w14:solidFill>
          </w14:textFill>
        </w:rPr>
        <w:t>）；</w:t>
      </w:r>
    </w:p>
    <w:p w14:paraId="061507D4">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7、《环境空气质量标准》（GB3095-2012）；</w:t>
      </w:r>
    </w:p>
    <w:p w14:paraId="64727F29">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8、《声环境质量标准》（GB3096-2008）；</w:t>
      </w:r>
    </w:p>
    <w:p w14:paraId="421D5B6C">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9、《地下水质量标准》（GB/14848-2017）；</w:t>
      </w:r>
    </w:p>
    <w:p w14:paraId="7B9A7406">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10、《地表水环境质量标准》（GB3838-2002）；</w:t>
      </w:r>
    </w:p>
    <w:p w14:paraId="50FC1F94">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11、《工业企业厂界环境噪声排放标准》（GB12348-2008）；</w:t>
      </w:r>
    </w:p>
    <w:p w14:paraId="48BEB380">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12、《一般工业固体废物贮存、处置场污染控制标准》（GB18599-20</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20</w:t>
      </w:r>
      <w:r>
        <w:rPr>
          <w:rFonts w:ascii="Times New Roman" w:hAnsi="Times New Roman" w:eastAsia="宋体" w:cs="Times New Roman"/>
          <w:color w:val="000000" w:themeColor="text1"/>
          <w:sz w:val="24"/>
          <w:szCs w:val="28"/>
          <w14:textFill>
            <w14:solidFill>
              <w14:schemeClr w14:val="tx1"/>
            </w14:solidFill>
          </w14:textFill>
        </w:rPr>
        <w:t>）；</w:t>
      </w:r>
    </w:p>
    <w:p w14:paraId="6B3956B5">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13、《危险废物贮存污染控制标准》(GB18597-20</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23</w:t>
      </w:r>
      <w:r>
        <w:rPr>
          <w:rFonts w:ascii="Times New Roman" w:hAnsi="Times New Roman" w:eastAsia="宋体" w:cs="Times New Roman"/>
          <w:color w:val="000000" w:themeColor="text1"/>
          <w:sz w:val="24"/>
          <w:szCs w:val="28"/>
          <w14:textFill>
            <w14:solidFill>
              <w14:schemeClr w14:val="tx1"/>
            </w14:solidFill>
          </w14:textFill>
        </w:rPr>
        <w:t>)；</w:t>
      </w:r>
    </w:p>
    <w:p w14:paraId="60DFFD92">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14、《生活垃圾填埋场污染控制标准》（GB16899-2008）；</w:t>
      </w:r>
    </w:p>
    <w:p w14:paraId="6E142B18">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15、《关于规范建设单位自主开展建设项目竣工环境保护验收的通知（征求意见稿）》（环境保护部）；</w:t>
      </w:r>
    </w:p>
    <w:p w14:paraId="655CD7F0">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16、《建设项目竣工环境保护验收技术指南 污染影响类》（环境生态部）；</w:t>
      </w:r>
    </w:p>
    <w:p w14:paraId="3B722135">
      <w:pPr>
        <w:pStyle w:val="50"/>
        <w:spacing w:line="360" w:lineRule="auto"/>
        <w:ind w:firstLine="0" w:firstLineChars="0"/>
        <w:jc w:val="left"/>
        <w:outlineLvl w:val="1"/>
        <w:rPr>
          <w:rFonts w:ascii="Times New Roman" w:hAnsi="Times New Roman" w:eastAsia="宋体" w:cs="Times New Roman"/>
          <w:b/>
          <w:color w:val="000000" w:themeColor="text1"/>
          <w:sz w:val="28"/>
          <w:szCs w:val="32"/>
          <w14:textFill>
            <w14:solidFill>
              <w14:schemeClr w14:val="tx1"/>
            </w14:solidFill>
          </w14:textFill>
        </w:rPr>
      </w:pPr>
      <w:bookmarkStart w:id="11" w:name="_Toc4388"/>
      <w:r>
        <w:rPr>
          <w:rFonts w:ascii="Times New Roman" w:hAnsi="Times New Roman" w:eastAsia="宋体" w:cs="Times New Roman"/>
          <w:b/>
          <w:color w:val="000000" w:themeColor="text1"/>
          <w:sz w:val="28"/>
          <w:szCs w:val="32"/>
          <w14:textFill>
            <w14:solidFill>
              <w14:schemeClr w14:val="tx1"/>
            </w14:solidFill>
          </w14:textFill>
        </w:rPr>
        <w:t>2.2其他法规、条例</w:t>
      </w:r>
      <w:bookmarkEnd w:id="9"/>
      <w:bookmarkEnd w:id="11"/>
    </w:p>
    <w:p w14:paraId="58DCA3D6">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1、《建设项目环境保护管理条例》（国务院令第682号）；</w:t>
      </w:r>
    </w:p>
    <w:p w14:paraId="0F583B23">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2、《建设项目环境影响评价文件审批及建设单位自主开展环境保护设施验收工作指引（试行）》</w:t>
      </w:r>
    </w:p>
    <w:p w14:paraId="4587853D">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3、《建设项目竣工环境保护验收暂行办法》（国环规环评（2017）4号）；</w:t>
      </w:r>
    </w:p>
    <w:p w14:paraId="3E5FB571">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4、原国家环境保护总局环发［2000］38号《关于建设项目环境保护设施竣工验收监测管理有关问题的通知》；</w:t>
      </w:r>
    </w:p>
    <w:p w14:paraId="02C104EC">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5、原山东省环境保护局鲁环发〔2007〕147号《关于印发《建设项目环评审批的具体操作程序》和《建设项目竣工环境保护验收的具体操作程序》的通知》；</w:t>
      </w:r>
    </w:p>
    <w:p w14:paraId="4197119A">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6、山东省环境保护厅鲁环发[2012]509转发《关于切实加强风险防范严格影响评价管理》的通知；</w:t>
      </w:r>
    </w:p>
    <w:p w14:paraId="7D023A2B">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7、《建设项目竣工环境保护验收技术指南污染影响类》（生态环境部公告2018年第9号）；</w:t>
      </w:r>
    </w:p>
    <w:p w14:paraId="6E2313B5">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8、菏泽市环境保护局菏环发[2016]26号《关于严格环评审批和</w:t>
      </w:r>
      <w:r>
        <w:rPr>
          <w:rFonts w:hint="eastAsia" w:ascii="Times New Roman" w:hAnsi="Times New Roman" w:eastAsia="宋体" w:cs="Times New Roman"/>
          <w:color w:val="000000" w:themeColor="text1"/>
          <w:sz w:val="24"/>
          <w:szCs w:val="28"/>
          <w:lang w:eastAsia="zh-CN"/>
          <w14:textFill>
            <w14:solidFill>
              <w14:schemeClr w14:val="tx1"/>
            </w14:solidFill>
          </w14:textFill>
        </w:rPr>
        <w:t>“</w:t>
      </w:r>
      <w:r>
        <w:rPr>
          <w:rFonts w:ascii="Times New Roman" w:hAnsi="Times New Roman" w:eastAsia="宋体" w:cs="Times New Roman"/>
          <w:color w:val="000000" w:themeColor="text1"/>
          <w:sz w:val="24"/>
          <w:szCs w:val="28"/>
          <w14:textFill>
            <w14:solidFill>
              <w14:schemeClr w14:val="tx1"/>
            </w14:solidFill>
          </w14:textFill>
        </w:rPr>
        <w:t>三同时</w:t>
      </w:r>
      <w:r>
        <w:rPr>
          <w:rFonts w:hint="eastAsia" w:ascii="Times New Roman" w:hAnsi="Times New Roman" w:eastAsia="宋体" w:cs="Times New Roman"/>
          <w:color w:val="000000" w:themeColor="text1"/>
          <w:sz w:val="24"/>
          <w:szCs w:val="28"/>
          <w:lang w:eastAsia="zh-CN"/>
          <w14:textFill>
            <w14:solidFill>
              <w14:schemeClr w14:val="tx1"/>
            </w14:solidFill>
          </w14:textFill>
        </w:rPr>
        <w:t>”</w:t>
      </w:r>
      <w:r>
        <w:rPr>
          <w:rFonts w:ascii="Times New Roman" w:hAnsi="Times New Roman" w:eastAsia="宋体" w:cs="Times New Roman"/>
          <w:color w:val="000000" w:themeColor="text1"/>
          <w:sz w:val="24"/>
          <w:szCs w:val="28"/>
          <w14:textFill>
            <w14:solidFill>
              <w14:schemeClr w14:val="tx1"/>
            </w14:solidFill>
          </w14:textFill>
        </w:rPr>
        <w:t>验收加强国土资源执法监管建立共同责任机制的通知》（2016.05.30）；</w:t>
      </w:r>
    </w:p>
    <w:p w14:paraId="389A9783">
      <w:pPr>
        <w:spacing w:line="360" w:lineRule="auto"/>
        <w:ind w:firstLine="480" w:firstLineChars="200"/>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9、</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生态环境部办公厅关于印发《污染影响类建设项目重大变动清单（试行）》的通知；</w:t>
      </w:r>
    </w:p>
    <w:p w14:paraId="3C48CA95">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10、</w:t>
      </w:r>
      <w:r>
        <w:rPr>
          <w:rFonts w:ascii="Times New Roman" w:hAnsi="Times New Roman" w:eastAsia="宋体" w:cs="Times New Roman"/>
          <w:color w:val="000000" w:themeColor="text1"/>
          <w:sz w:val="24"/>
          <w:szCs w:val="28"/>
          <w14:textFill>
            <w14:solidFill>
              <w14:schemeClr w14:val="tx1"/>
            </w14:solidFill>
          </w14:textFill>
        </w:rPr>
        <w:t>环境保护部《关于印发环评管理中部分行业建设项目重大变动清单的通知》(环办〔2015〕52号)重大变更清单。</w:t>
      </w:r>
    </w:p>
    <w:p w14:paraId="6BAC4062">
      <w:pPr>
        <w:pStyle w:val="50"/>
        <w:spacing w:line="360" w:lineRule="auto"/>
        <w:ind w:firstLine="0" w:firstLineChars="0"/>
        <w:jc w:val="left"/>
        <w:outlineLvl w:val="1"/>
        <w:rPr>
          <w:rFonts w:ascii="Times New Roman" w:hAnsi="Times New Roman" w:eastAsia="宋体" w:cs="Times New Roman"/>
          <w:b/>
          <w:color w:val="000000" w:themeColor="text1"/>
          <w:sz w:val="28"/>
          <w:szCs w:val="32"/>
          <w14:textFill>
            <w14:solidFill>
              <w14:schemeClr w14:val="tx1"/>
            </w14:solidFill>
          </w14:textFill>
        </w:rPr>
      </w:pPr>
      <w:bookmarkStart w:id="12" w:name="_Toc502136285"/>
      <w:bookmarkStart w:id="13" w:name="_Toc26539"/>
      <w:r>
        <w:rPr>
          <w:rFonts w:ascii="Times New Roman" w:hAnsi="Times New Roman" w:eastAsia="宋体" w:cs="Times New Roman"/>
          <w:b/>
          <w:color w:val="000000" w:themeColor="text1"/>
          <w:sz w:val="28"/>
          <w:szCs w:val="32"/>
          <w14:textFill>
            <w14:solidFill>
              <w14:schemeClr w14:val="tx1"/>
            </w14:solidFill>
          </w14:textFill>
        </w:rPr>
        <w:t>2.3技术文件依据</w:t>
      </w:r>
      <w:bookmarkEnd w:id="12"/>
      <w:bookmarkEnd w:id="13"/>
    </w:p>
    <w:p w14:paraId="159EA821">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1、山东省环保厅鲁环函[2012]493号《山东省环境保护厅关于加强建设项目竣工环境保护验收等有关环境监管问题的通知》，2012年；</w:t>
      </w:r>
    </w:p>
    <w:p w14:paraId="58F0FACA">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2、山东省环保厅鲁环发[2013]4号《山东省环境保护厅关于进一步加强环境安全应急管理工作的通知》，2012年1月；</w:t>
      </w:r>
    </w:p>
    <w:p w14:paraId="2CFBD6BE">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3、山东省环保厅鲁环评函[2013]138号《山东省环境保护厅关于加强建设项目特征污染物监管和绿色生态屏障建设的通知》，2013年；</w:t>
      </w:r>
    </w:p>
    <w:p w14:paraId="5DA5A215">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14:textFill>
            <w14:solidFill>
              <w14:schemeClr w14:val="tx1"/>
            </w14:solidFill>
          </w14:textFill>
        </w:rPr>
        <w:t>、《关于</w:t>
      </w:r>
      <w:r>
        <w:rPr>
          <w:rFonts w:hint="eastAsia" w:ascii="Times New Roman" w:hAnsi="Times New Roman" w:eastAsia="宋体" w:cs="Times New Roman"/>
          <w:sz w:val="24"/>
          <w:szCs w:val="24"/>
          <w:lang w:eastAsia="zh-CN"/>
        </w:rPr>
        <w:t>山东瑞盟生物科技有限公司</w:t>
      </w:r>
      <w:r>
        <w:rPr>
          <w:rFonts w:hint="eastAsia" w:ascii="Times New Roman" w:hAnsi="Times New Roman" w:eastAsia="宋体" w:cs="Times New Roman"/>
          <w:sz w:val="24"/>
          <w:szCs w:val="24"/>
          <w:lang w:val="en-US" w:eastAsia="zh-CN"/>
        </w:rPr>
        <w:t>年产20000吨食品添加剂项目</w:t>
      </w:r>
      <w:r>
        <w:rPr>
          <w:rFonts w:hint="default" w:ascii="Times New Roman" w:hAnsi="Times New Roman" w:eastAsia="宋体" w:cs="Times New Roman"/>
          <w:color w:val="000000" w:themeColor="text1"/>
          <w:sz w:val="24"/>
          <w:szCs w:val="28"/>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菏</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成</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环审【202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57</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8"/>
          <w14:textFill>
            <w14:solidFill>
              <w14:schemeClr w14:val="tx1"/>
            </w14:solidFill>
          </w14:textFill>
        </w:rPr>
        <w:t>）；</w:t>
      </w:r>
    </w:p>
    <w:p w14:paraId="42B74A97">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8"/>
          <w14:textFill>
            <w14:solidFill>
              <w14:schemeClr w14:val="tx1"/>
            </w14:solidFill>
          </w14:textFill>
        </w:rPr>
        <w:t>、《</w:t>
      </w:r>
      <w:r>
        <w:rPr>
          <w:rFonts w:hint="eastAsia" w:ascii="Times New Roman" w:hAnsi="Times New Roman" w:eastAsia="宋体" w:cs="Times New Roman"/>
          <w:sz w:val="24"/>
          <w:szCs w:val="24"/>
          <w:lang w:eastAsia="zh-CN"/>
        </w:rPr>
        <w:t>山东瑞盟生物科技有限公司</w:t>
      </w:r>
      <w:r>
        <w:rPr>
          <w:rFonts w:hint="eastAsia" w:ascii="Times New Roman" w:hAnsi="Times New Roman" w:eastAsia="宋体" w:cs="Times New Roman"/>
          <w:sz w:val="24"/>
          <w:szCs w:val="24"/>
          <w:lang w:val="en-US" w:eastAsia="zh-CN"/>
        </w:rPr>
        <w:t>年产20000吨食品添加剂项目（一期）</w:t>
      </w:r>
      <w:r>
        <w:rPr>
          <w:rFonts w:hint="default" w:ascii="Times New Roman" w:hAnsi="Times New Roman" w:eastAsia="宋体" w:cs="Times New Roman"/>
          <w:color w:val="000000" w:themeColor="text1"/>
          <w:sz w:val="24"/>
          <w:szCs w:val="28"/>
          <w14:textFill>
            <w14:solidFill>
              <w14:schemeClr w14:val="tx1"/>
            </w14:solidFill>
          </w14:textFill>
        </w:rPr>
        <w:t>验收监测方案》；</w:t>
      </w:r>
    </w:p>
    <w:p w14:paraId="2F6331D2">
      <w:pPr>
        <w:spacing w:line="360" w:lineRule="auto"/>
        <w:ind w:firstLine="480" w:firstLineChars="200"/>
        <w:rPr>
          <w:rFonts w:hint="eastAsia" w:ascii="Times New Roman" w:hAnsi="Times New Roman" w:eastAsia="宋体" w:cs="Times New Roman"/>
          <w:color w:val="auto"/>
          <w:sz w:val="24"/>
          <w:szCs w:val="28"/>
          <w:lang w:eastAsia="zh-CN"/>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8"/>
          <w14:textFill>
            <w14:solidFill>
              <w14:schemeClr w14:val="tx1"/>
            </w14:solidFill>
          </w14:textFill>
        </w:rPr>
        <w:t>、《</w:t>
      </w:r>
      <w:r>
        <w:rPr>
          <w:rFonts w:hint="eastAsia" w:ascii="Times New Roman" w:hAnsi="Times New Roman" w:eastAsia="宋体" w:cs="Times New Roman"/>
          <w:sz w:val="24"/>
          <w:szCs w:val="24"/>
          <w:lang w:eastAsia="zh-CN"/>
        </w:rPr>
        <w:t>山东瑞盟生物科技有限公司</w:t>
      </w:r>
      <w:r>
        <w:rPr>
          <w:rFonts w:hint="eastAsia" w:ascii="Times New Roman" w:hAnsi="Times New Roman" w:eastAsia="宋体" w:cs="Times New Roman"/>
          <w:sz w:val="24"/>
          <w:szCs w:val="24"/>
          <w:lang w:val="en-US" w:eastAsia="zh-CN"/>
        </w:rPr>
        <w:t>年产20000吨食品添加剂项目（一期）</w:t>
      </w:r>
      <w:r>
        <w:rPr>
          <w:rFonts w:ascii="Times New Roman" w:hAnsi="Times New Roman" w:eastAsia="宋体" w:cs="Times New Roman"/>
          <w:color w:val="auto"/>
          <w:sz w:val="24"/>
          <w:szCs w:val="28"/>
        </w:rPr>
        <w:t>检测报</w:t>
      </w:r>
      <w:r>
        <w:rPr>
          <w:rFonts w:hint="eastAsia" w:ascii="Times New Roman" w:hAnsi="Times New Roman" w:eastAsia="宋体" w:cs="Times New Roman"/>
          <w:color w:val="auto"/>
          <w:sz w:val="24"/>
          <w:szCs w:val="28"/>
          <w:lang w:eastAsia="zh-CN"/>
        </w:rPr>
        <w:t>告》（</w:t>
      </w:r>
      <w:r>
        <w:rPr>
          <w:rFonts w:hint="eastAsia" w:ascii="Times New Roman" w:hAnsi="Times New Roman" w:eastAsia="宋体" w:cs="Times New Roman"/>
          <w:color w:val="auto"/>
          <w:sz w:val="24"/>
          <w:szCs w:val="28"/>
          <w:lang w:val="en-US" w:eastAsia="zh-CN"/>
        </w:rPr>
        <w:t>山东天智环境监测有限公司</w:t>
      </w:r>
      <w:r>
        <w:rPr>
          <w:rFonts w:hint="eastAsia" w:ascii="Times New Roman" w:hAnsi="Times New Roman" w:eastAsia="宋体" w:cs="Times New Roman"/>
          <w:color w:val="auto"/>
          <w:sz w:val="24"/>
          <w:szCs w:val="28"/>
          <w:lang w:eastAsia="zh-CN"/>
        </w:rPr>
        <w:t>）。</w:t>
      </w:r>
    </w:p>
    <w:p w14:paraId="63AE6B8F">
      <w:pPr>
        <w:pStyle w:val="50"/>
        <w:spacing w:line="360" w:lineRule="auto"/>
        <w:ind w:firstLine="0" w:firstLineChars="0"/>
        <w:jc w:val="left"/>
        <w:outlineLvl w:val="1"/>
        <w:rPr>
          <w:rFonts w:ascii="Times New Roman" w:hAnsi="Times New Roman" w:eastAsia="宋体" w:cs="Times New Roman"/>
          <w:b/>
          <w:color w:val="auto"/>
          <w:sz w:val="28"/>
          <w:szCs w:val="32"/>
        </w:rPr>
      </w:pPr>
      <w:bookmarkStart w:id="14" w:name="_Toc502061658"/>
      <w:bookmarkStart w:id="15" w:name="_Toc502136286"/>
      <w:bookmarkStart w:id="16" w:name="_Toc14213"/>
      <w:bookmarkStart w:id="17" w:name="_Toc501815004"/>
      <w:r>
        <w:rPr>
          <w:rFonts w:ascii="Times New Roman" w:hAnsi="Times New Roman" w:eastAsia="宋体" w:cs="Times New Roman"/>
          <w:b/>
          <w:color w:val="auto"/>
          <w:sz w:val="28"/>
          <w:szCs w:val="32"/>
        </w:rPr>
        <w:t>2.4验收监测评价标准</w:t>
      </w:r>
      <w:bookmarkEnd w:id="14"/>
      <w:bookmarkEnd w:id="15"/>
      <w:bookmarkEnd w:id="16"/>
      <w:bookmarkEnd w:id="17"/>
    </w:p>
    <w:p w14:paraId="54527B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吹塑包装车间产生的VOCs排放满足《挥发性有机物排放控制标准  第6部分：有机化工行业》（DB37/2801.6-2018）表1II时段排放限值要求，醋酸车间产生的VOCs排放浓度满足《挥发性有机物排放标准第7部分：其他行业》（DB37/2801.7-2019）表1II时段排放限值要求，厂界VOCs排放浓度满足《挥发性有机物排放标准第7部分：其他行业》（DB37/2801.7-2019）表2厂界监控点浓度限值要求和《挥发性有机物排放标准第6部分：有机化工》（DB37/2801.6-2018）表3厂界监控点浓度限值要求。</w:t>
      </w:r>
    </w:p>
    <w:p w14:paraId="39838E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2、厂界噪声执行</w:t>
      </w:r>
      <w:r>
        <w:rPr>
          <w:rFonts w:hint="default" w:ascii="Times New Roman" w:hAnsi="Times New Roman" w:eastAsia="宋体" w:cs="Times New Roman"/>
          <w:b w:val="0"/>
          <w:bCs w:val="0"/>
          <w:color w:val="auto"/>
          <w:kern w:val="0"/>
          <w:sz w:val="24"/>
          <w:szCs w:val="24"/>
          <w:highlight w:val="none"/>
          <w:lang w:val="en-US" w:eastAsia="zh-CN" w:bidi="ar-SA"/>
        </w:rPr>
        <w:t>《工业企业厂界环境噪声排放标准》（GB12348-2008）中的</w:t>
      </w:r>
      <w:r>
        <w:rPr>
          <w:rFonts w:hint="eastAsia" w:ascii="Times New Roman" w:hAnsi="Times New Roman" w:eastAsia="宋体" w:cs="Times New Roman"/>
          <w:b w:val="0"/>
          <w:bCs w:val="0"/>
          <w:color w:val="auto"/>
          <w:kern w:val="0"/>
          <w:sz w:val="24"/>
          <w:szCs w:val="24"/>
          <w:highlight w:val="none"/>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类标准</w:t>
      </w:r>
      <w:r>
        <w:rPr>
          <w:rFonts w:hint="default" w:ascii="Times New Roman" w:hAnsi="Times New Roman" w:eastAsia="宋体" w:cs="Times New Roman"/>
          <w:color w:val="000000" w:themeColor="text1"/>
          <w:sz w:val="24"/>
          <w:szCs w:val="28"/>
          <w14:textFill>
            <w14:solidFill>
              <w14:schemeClr w14:val="tx1"/>
            </w14:solidFill>
          </w14:textFill>
        </w:rPr>
        <w:t>。</w:t>
      </w:r>
    </w:p>
    <w:p w14:paraId="43674DB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4、</w:t>
      </w:r>
      <w:r>
        <w:rPr>
          <w:rFonts w:hint="default" w:ascii="Times New Roman" w:hAnsi="Times New Roman" w:eastAsia="宋体" w:cs="Times New Roman"/>
          <w:sz w:val="24"/>
        </w:rPr>
        <w:t>一般固体废物暂存应符合《中华人民共和国固体废物污染环境防治法》相关要求，采取防扬散、防流失、防渗漏或者其他防止污染环境的措施，不得擅自倾倒、堆放、丢失、遗撒；一般固体废物管理过程中还应执行《一般工业固体废物管理台账制定指南（试行）》（公告 2021 年第 82 号）要求；危险固体废物执行《危险废物贮存污染控制标准》（GB18597-</w:t>
      </w:r>
      <w:r>
        <w:rPr>
          <w:rFonts w:hint="eastAsia" w:cs="Times New Roman"/>
          <w:sz w:val="24"/>
          <w:lang w:val="en-US" w:eastAsia="zh-CN"/>
        </w:rPr>
        <w:t>2023</w:t>
      </w:r>
      <w:r>
        <w:rPr>
          <w:rFonts w:hint="default" w:ascii="Times New Roman" w:hAnsi="Times New Roman" w:eastAsia="宋体" w:cs="Times New Roman"/>
          <w:sz w:val="24"/>
        </w:rPr>
        <w:t>）中的要求。</w:t>
      </w:r>
    </w:p>
    <w:p w14:paraId="217480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sectPr>
          <w:headerReference r:id="rId7" w:type="first"/>
          <w:footerReference r:id="rId9" w:type="first"/>
          <w:headerReference r:id="rId6" w:type="default"/>
          <w:footerReference r:id="rId8"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27109E6">
      <w:pPr>
        <w:pStyle w:val="50"/>
        <w:spacing w:line="360" w:lineRule="auto"/>
        <w:ind w:left="-210" w:leftChars="-100" w:firstLine="0" w:firstLineChars="0"/>
        <w:jc w:val="center"/>
        <w:outlineLvl w:val="0"/>
        <w:rPr>
          <w:rFonts w:ascii="Times New Roman" w:hAnsi="Times New Roman" w:eastAsia="宋体" w:cs="Times New Roman"/>
          <w:b/>
          <w:sz w:val="32"/>
          <w:szCs w:val="32"/>
        </w:rPr>
      </w:pPr>
      <w:bookmarkStart w:id="18" w:name="_Toc13525"/>
      <w:r>
        <w:rPr>
          <w:rFonts w:ascii="Times New Roman" w:hAnsi="Times New Roman" w:eastAsia="宋体" w:cs="Times New Roman"/>
          <w:b/>
          <w:sz w:val="32"/>
          <w:szCs w:val="32"/>
        </w:rPr>
        <w:t>3、工程建设情况</w:t>
      </w:r>
      <w:bookmarkEnd w:id="18"/>
    </w:p>
    <w:p w14:paraId="79449FC0">
      <w:pPr>
        <w:pStyle w:val="50"/>
        <w:spacing w:line="360" w:lineRule="auto"/>
        <w:ind w:firstLine="0" w:firstLineChars="0"/>
        <w:jc w:val="left"/>
        <w:outlineLvl w:val="1"/>
        <w:rPr>
          <w:rFonts w:ascii="Times New Roman" w:hAnsi="Times New Roman" w:eastAsia="宋体" w:cs="Times New Roman"/>
          <w:b/>
          <w:sz w:val="28"/>
          <w:szCs w:val="32"/>
        </w:rPr>
      </w:pPr>
      <w:bookmarkStart w:id="19" w:name="_Toc182"/>
      <w:r>
        <w:rPr>
          <w:rFonts w:ascii="Times New Roman" w:hAnsi="Times New Roman" w:eastAsia="宋体" w:cs="Times New Roman"/>
          <w:b/>
          <w:sz w:val="28"/>
          <w:szCs w:val="32"/>
        </w:rPr>
        <w:t>3.1地理位置及平面布置</w:t>
      </w:r>
      <w:bookmarkEnd w:id="19"/>
    </w:p>
    <w:p w14:paraId="509BA04A">
      <w:pPr>
        <w:pStyle w:val="50"/>
        <w:spacing w:line="360" w:lineRule="auto"/>
        <w:ind w:firstLine="480" w:firstLineChars="200"/>
        <w:jc w:val="left"/>
        <w:outlineLvl w:val="1"/>
        <w:rPr>
          <w:rFonts w:hint="eastAsia" w:ascii="Times New Roman" w:hAnsi="Times New Roman" w:eastAsia="宋体" w:cs="Times New Roman"/>
          <w:color w:val="000000"/>
          <w:sz w:val="24"/>
          <w:lang w:eastAsia="zh-CN"/>
        </w:rPr>
      </w:pPr>
      <w:r>
        <w:rPr>
          <w:rFonts w:hint="eastAsia"/>
          <w:sz w:val="24"/>
          <w:szCs w:val="24"/>
          <w:lang w:eastAsia="zh-CN"/>
        </w:rPr>
        <w:t>山东瑞盟生物科技有限公司</w:t>
      </w: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20000吨食品添加剂项目（一期）</w:t>
      </w:r>
      <w:r>
        <w:rPr>
          <w:rFonts w:hint="default" w:ascii="Times New Roman" w:hAnsi="Times New Roman" w:eastAsia="宋体" w:cs="Times New Roman"/>
          <w:color w:val="000000"/>
          <w:sz w:val="24"/>
          <w:szCs w:val="28"/>
        </w:rPr>
        <w:t>位于</w:t>
      </w:r>
      <w:r>
        <w:rPr>
          <w:rFonts w:hint="eastAsia" w:ascii="Times New Roman" w:hAnsi="Times New Roman" w:eastAsia="宋体" w:cs="Times New Roman"/>
          <w:color w:val="000000"/>
          <w:sz w:val="24"/>
          <w:szCs w:val="28"/>
          <w:lang w:val="en-US" w:eastAsia="zh-CN"/>
        </w:rPr>
        <w:t>山东省菏泽市成武县大田集镇港航产业园内</w:t>
      </w:r>
      <w:r>
        <w:rPr>
          <w:rFonts w:hint="eastAsia" w:ascii="Times New Roman" w:hAnsi="Times New Roman" w:eastAsia="宋体" w:cs="Times New Roman"/>
          <w:color w:val="000000"/>
          <w:sz w:val="24"/>
          <w:lang w:eastAsia="zh-CN"/>
        </w:rPr>
        <w:t>。</w:t>
      </w:r>
    </w:p>
    <w:p w14:paraId="1A79BEA6">
      <w:pPr>
        <w:adjustRightInd w:val="0"/>
        <w:snapToGrid w:val="0"/>
        <w:spacing w:line="360" w:lineRule="auto"/>
        <w:ind w:firstLine="480" w:firstLineChars="200"/>
        <w:rPr>
          <w:rFonts w:hint="eastAsia"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项目具体地理位置见图3-1，厂区平面布置见图3</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p w14:paraId="3EE7A6C6">
      <w:pPr>
        <w:spacing w:line="360" w:lineRule="auto"/>
        <w:jc w:val="center"/>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lang w:eastAsia="zh-CN"/>
        </w:rPr>
        <w:drawing>
          <wp:anchor distT="0" distB="0" distL="114300" distR="114300" simplePos="0" relativeHeight="251697152" behindDoc="0" locked="0" layoutInCell="1" allowOverlap="1">
            <wp:simplePos x="0" y="0"/>
            <wp:positionH relativeFrom="column">
              <wp:posOffset>5447030</wp:posOffset>
            </wp:positionH>
            <wp:positionV relativeFrom="paragraph">
              <wp:posOffset>85090</wp:posOffset>
            </wp:positionV>
            <wp:extent cx="582930" cy="558800"/>
            <wp:effectExtent l="0" t="0" r="7620" b="12700"/>
            <wp:wrapNone/>
            <wp:docPr id="23" name="图片 23" descr="5708dfd1037de4034c1b4da4681e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708dfd1037de4034c1b4da4681e29e"/>
                    <pic:cNvPicPr>
                      <a:picLocks noChangeAspect="1"/>
                    </pic:cNvPicPr>
                  </pic:nvPicPr>
                  <pic:blipFill>
                    <a:blip r:embed="rId18"/>
                    <a:stretch>
                      <a:fillRect/>
                    </a:stretch>
                  </pic:blipFill>
                  <pic:spPr>
                    <a:xfrm>
                      <a:off x="0" y="0"/>
                      <a:ext cx="582930" cy="558800"/>
                    </a:xfrm>
                    <a:prstGeom prst="rect">
                      <a:avLst/>
                    </a:prstGeom>
                  </pic:spPr>
                </pic:pic>
              </a:graphicData>
            </a:graphic>
          </wp:anchor>
        </w:drawing>
      </w:r>
      <w:r>
        <w:rPr>
          <w:sz w:val="24"/>
        </w:rPr>
        <mc:AlternateContent>
          <mc:Choice Requires="wps">
            <w:drawing>
              <wp:anchor distT="0" distB="0" distL="114300" distR="114300" simplePos="0" relativeHeight="251683840" behindDoc="0" locked="0" layoutInCell="1" allowOverlap="1">
                <wp:simplePos x="0" y="0"/>
                <wp:positionH relativeFrom="column">
                  <wp:posOffset>3170555</wp:posOffset>
                </wp:positionH>
                <wp:positionV relativeFrom="paragraph">
                  <wp:posOffset>979805</wp:posOffset>
                </wp:positionV>
                <wp:extent cx="1384935" cy="458470"/>
                <wp:effectExtent l="308610" t="6350" r="20955" b="601980"/>
                <wp:wrapNone/>
                <wp:docPr id="141" name="矩形标注 141"/>
                <wp:cNvGraphicFramePr/>
                <a:graphic xmlns:a="http://schemas.openxmlformats.org/drawingml/2006/main">
                  <a:graphicData uri="http://schemas.microsoft.com/office/word/2010/wordprocessingShape">
                    <wps:wsp>
                      <wps:cNvSpPr/>
                      <wps:spPr>
                        <a:xfrm>
                          <a:off x="2875280" y="3349625"/>
                          <a:ext cx="1384935" cy="458470"/>
                        </a:xfrm>
                        <a:prstGeom prst="wedgeRectCallout">
                          <a:avLst>
                            <a:gd name="adj1" fmla="val -69578"/>
                            <a:gd name="adj2" fmla="val 172022"/>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0C6338B">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9.65pt;margin-top:77.15pt;height:36.1pt;width:109.05pt;z-index:251683840;v-text-anchor:middle;mso-width-relative:page;mso-height-relative:page;" filled="f" stroked="t" coordsize="21600,21600" o:gfxdata="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2b3+72wAAAAsBAAAPAAAAAAAAAAEA&#10;IAAAACIAAABkcnMvZG93bnJldi54bWxQSwECFAAUAAAACACHTuJAu3ixW7cCAABLBQAADgAAAAAA&#10;AAABACAAAAAqAQAAZHJzL2Uyb0RvYy54bWxQSwUGAAAAAAYABgBZAQAAUwYAAAAA&#10;" adj="-4229,47957">
                <v:fill on="f" focussize="0,0"/>
                <v:stroke weight="1pt" color="#000000 [3213]" miterlimit="8" joinstyle="miter"/>
                <v:imagedata o:title=""/>
                <o:lock v:ext="edit" aspectratio="f"/>
                <v:textbox>
                  <w:txbxContent>
                    <w:p w14:paraId="50C6338B">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本项目所在位置</w:t>
                      </w:r>
                    </w:p>
                  </w:txbxContent>
                </v:textbox>
              </v:shape>
            </w:pict>
          </mc:Fallback>
        </mc:AlternateContent>
      </w:r>
      <w:r>
        <w:rPr>
          <w:rFonts w:hint="default" w:ascii="Times New Roman" w:hAnsi="Times New Roman" w:eastAsia="宋体" w:cs="Times New Roman"/>
          <w:color w:val="000000"/>
          <w:sz w:val="24"/>
          <w:szCs w:val="28"/>
          <w:lang w:eastAsia="zh-CN"/>
        </w:rPr>
        <w:drawing>
          <wp:inline distT="0" distB="0" distL="114300" distR="114300">
            <wp:extent cx="5469255" cy="4420870"/>
            <wp:effectExtent l="9525" t="9525" r="26670" b="27305"/>
            <wp:docPr id="140" name="图片 140" descr="c34d3b8183677764e72690ad376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34d3b8183677764e72690ad3762468"/>
                    <pic:cNvPicPr>
                      <a:picLocks noChangeAspect="1"/>
                    </pic:cNvPicPr>
                  </pic:nvPicPr>
                  <pic:blipFill>
                    <a:blip r:embed="rId19"/>
                    <a:stretch>
                      <a:fillRect/>
                    </a:stretch>
                  </pic:blipFill>
                  <pic:spPr>
                    <a:xfrm>
                      <a:off x="0" y="0"/>
                      <a:ext cx="5469255" cy="4420870"/>
                    </a:xfrm>
                    <a:prstGeom prst="rect">
                      <a:avLst/>
                    </a:prstGeom>
                    <a:ln>
                      <a:solidFill>
                        <a:schemeClr val="tx1"/>
                      </a:solidFill>
                    </a:ln>
                  </pic:spPr>
                </pic:pic>
              </a:graphicData>
            </a:graphic>
          </wp:inline>
        </w:drawing>
      </w:r>
    </w:p>
    <w:p w14:paraId="5F56739E">
      <w:pPr>
        <w:pStyle w:val="3"/>
        <w:spacing w:after="0" w:line="360" w:lineRule="auto"/>
        <w:ind w:left="0"/>
        <w:rPr>
          <w:sz w:val="21"/>
        </w:rPr>
      </w:pPr>
      <w:r>
        <w:drawing>
          <wp:anchor distT="0" distB="0" distL="114300" distR="114300" simplePos="0" relativeHeight="251668480" behindDoc="0" locked="0" layoutInCell="1" allowOverlap="1">
            <wp:simplePos x="0" y="0"/>
            <wp:positionH relativeFrom="column">
              <wp:posOffset>2086610</wp:posOffset>
            </wp:positionH>
            <wp:positionV relativeFrom="paragraph">
              <wp:posOffset>140335</wp:posOffset>
            </wp:positionV>
            <wp:extent cx="1905000" cy="238125"/>
            <wp:effectExtent l="0" t="0" r="0" b="9525"/>
            <wp:wrapSquare wrapText="bothSides"/>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20"/>
                    <a:stretch>
                      <a:fillRect/>
                    </a:stretch>
                  </pic:blipFill>
                  <pic:spPr>
                    <a:xfrm>
                      <a:off x="0" y="0"/>
                      <a:ext cx="1905000" cy="238125"/>
                    </a:xfrm>
                    <a:prstGeom prst="rect">
                      <a:avLst/>
                    </a:prstGeom>
                    <a:noFill/>
                    <a:ln>
                      <a:noFill/>
                    </a:ln>
                  </pic:spPr>
                </pic:pic>
              </a:graphicData>
            </a:graphic>
          </wp:anchor>
        </w:drawing>
      </w:r>
    </w:p>
    <w:p w14:paraId="67AB2D3B">
      <w:pPr>
        <w:spacing w:line="360" w:lineRule="auto"/>
        <w:jc w:val="center"/>
        <w:rPr>
          <w:rFonts w:ascii="Times New Roman" w:hAnsi="Times New Roman" w:eastAsia="宋体" w:cs="Times New Roman"/>
          <w:color w:val="000000"/>
          <w:sz w:val="24"/>
          <w:szCs w:val="28"/>
        </w:rPr>
        <w:sectPr>
          <w:pgSz w:w="11906" w:h="16838"/>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37B4869">
      <w:pPr>
        <w:pStyle w:val="3"/>
        <w:spacing w:after="0" w:line="360" w:lineRule="auto"/>
        <w:ind w:left="0"/>
        <w:jc w:val="center"/>
        <w:rPr>
          <w:b/>
          <w:sz w:val="22"/>
          <w:szCs w:val="24"/>
        </w:rPr>
      </w:pPr>
    </w:p>
    <w:p w14:paraId="4CCF547E">
      <w:pPr>
        <w:pStyle w:val="3"/>
        <w:spacing w:after="0" w:line="360" w:lineRule="auto"/>
        <w:ind w:left="0"/>
        <w:jc w:val="both"/>
        <w:rPr>
          <w:b/>
          <w:sz w:val="22"/>
          <w:szCs w:val="24"/>
        </w:rPr>
      </w:pPr>
      <w:r>
        <w:drawing>
          <wp:inline distT="0" distB="0" distL="114300" distR="114300">
            <wp:extent cx="9548495" cy="5231765"/>
            <wp:effectExtent l="0" t="0" r="14605" b="6985"/>
            <wp:docPr id="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pic:cNvPicPr>
                      <a:picLocks noChangeAspect="1"/>
                    </pic:cNvPicPr>
                  </pic:nvPicPr>
                  <pic:blipFill>
                    <a:blip r:embed="rId21"/>
                    <a:stretch>
                      <a:fillRect/>
                    </a:stretch>
                  </pic:blipFill>
                  <pic:spPr>
                    <a:xfrm>
                      <a:off x="0" y="0"/>
                      <a:ext cx="9548495" cy="5231765"/>
                    </a:xfrm>
                    <a:prstGeom prst="rect">
                      <a:avLst/>
                    </a:prstGeom>
                    <a:noFill/>
                    <a:ln>
                      <a:noFill/>
                    </a:ln>
                  </pic:spPr>
                </pic:pic>
              </a:graphicData>
            </a:graphic>
          </wp:inline>
        </w:drawing>
      </w:r>
    </w:p>
    <w:p w14:paraId="2202CD3E">
      <w:pPr>
        <w:pStyle w:val="3"/>
        <w:tabs>
          <w:tab w:val="center" w:pos="4369"/>
          <w:tab w:val="left" w:pos="7508"/>
        </w:tabs>
        <w:spacing w:after="0" w:line="360" w:lineRule="auto"/>
        <w:ind w:left="0"/>
        <w:jc w:val="center"/>
        <w:rPr>
          <w:b/>
          <w:sz w:val="22"/>
          <w:szCs w:val="24"/>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b/>
          <w:sz w:val="22"/>
          <w:szCs w:val="24"/>
        </w:rPr>
        <w:t>图3</w:t>
      </w:r>
      <w:r>
        <w:rPr>
          <w:rFonts w:hint="eastAsia"/>
          <w:b/>
          <w:sz w:val="22"/>
          <w:szCs w:val="24"/>
          <w:lang w:val="en-US" w:eastAsia="zh-CN"/>
        </w:rPr>
        <w:t>-2</w:t>
      </w:r>
      <w:r>
        <w:rPr>
          <w:b/>
          <w:sz w:val="22"/>
          <w:szCs w:val="24"/>
        </w:rPr>
        <w:t xml:space="preserve">  厂区平面布置简图</w:t>
      </w:r>
    </w:p>
    <w:p w14:paraId="13E45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sz w:val="22"/>
          <w:szCs w:val="24"/>
        </w:rPr>
      </w:pPr>
      <w:r>
        <w:rPr>
          <w:rFonts w:ascii="Times New Roman" w:hAnsi="Times New Roman" w:eastAsia="宋体" w:cs="Times New Roman"/>
          <w:color w:val="000000"/>
          <w:sz w:val="24"/>
          <w:szCs w:val="28"/>
        </w:rPr>
        <w:t>在项目</w:t>
      </w:r>
      <w:r>
        <w:rPr>
          <w:rFonts w:hint="eastAsia" w:ascii="Times New Roman" w:hAnsi="Times New Roman" w:eastAsia="宋体" w:cs="Times New Roman"/>
          <w:color w:val="000000"/>
          <w:sz w:val="24"/>
          <w:szCs w:val="28"/>
          <w:lang w:val="en-US" w:eastAsia="zh-CN"/>
        </w:rPr>
        <w:t>500m</w:t>
      </w:r>
      <w:r>
        <w:rPr>
          <w:rFonts w:ascii="Times New Roman" w:hAnsi="Times New Roman" w:eastAsia="宋体" w:cs="Times New Roman"/>
          <w:color w:val="000000"/>
          <w:sz w:val="24"/>
          <w:szCs w:val="28"/>
        </w:rPr>
        <w:t>范围内，</w:t>
      </w:r>
      <w:r>
        <w:rPr>
          <w:rFonts w:ascii="Times New Roman" w:hAnsi="Times New Roman" w:cs="Times New Roman"/>
          <w:sz w:val="24"/>
        </w:rPr>
        <w:t>距离项目边界最近的敏感</w:t>
      </w:r>
      <w:r>
        <w:rPr>
          <w:rFonts w:ascii="Times New Roman" w:hAnsi="Times New Roman" w:cs="Times New Roman"/>
          <w:sz w:val="24"/>
          <w:szCs w:val="24"/>
        </w:rPr>
        <w:t>点为项目厂区</w:t>
      </w:r>
      <w:r>
        <w:rPr>
          <w:rFonts w:hint="eastAsia" w:ascii="Times New Roman" w:hAnsi="Times New Roman" w:cs="Times New Roman"/>
          <w:sz w:val="24"/>
          <w:szCs w:val="24"/>
          <w:lang w:val="en-US" w:eastAsia="zh-CN"/>
        </w:rPr>
        <w:t>北侧</w:t>
      </w:r>
      <w:r>
        <w:rPr>
          <w:rFonts w:ascii="Times New Roman" w:hAnsi="Times New Roman" w:cs="Times New Roman"/>
          <w:sz w:val="24"/>
          <w:szCs w:val="24"/>
        </w:rPr>
        <w:t>的</w:t>
      </w:r>
      <w:r>
        <w:rPr>
          <w:rFonts w:hint="eastAsia" w:ascii="Times New Roman" w:hAnsi="Times New Roman" w:cs="Times New Roman"/>
          <w:sz w:val="24"/>
          <w:szCs w:val="24"/>
          <w:lang w:val="en-US" w:eastAsia="zh-CN"/>
        </w:rPr>
        <w:t>郭庙</w:t>
      </w:r>
      <w:r>
        <w:rPr>
          <w:rFonts w:ascii="Times New Roman" w:hAnsi="Times New Roman" w:cs="Times New Roman"/>
          <w:sz w:val="24"/>
        </w:rPr>
        <w:t>。</w:t>
      </w:r>
      <w:r>
        <w:rPr>
          <w:rFonts w:ascii="Times New Roman" w:hAnsi="Times New Roman" w:eastAsia="宋体" w:cs="Times New Roman"/>
          <w:color w:val="000000"/>
          <w:sz w:val="24"/>
          <w:szCs w:val="28"/>
        </w:rPr>
        <w:t>项目周边敏感目标分布情况见表3-1。</w:t>
      </w:r>
      <w:r>
        <w:rPr>
          <w:rFonts w:hint="eastAsia" w:ascii="Times New Roman" w:hAnsi="Times New Roman" w:eastAsia="宋体" w:cs="Times New Roman"/>
          <w:color w:val="000000"/>
          <w:sz w:val="24"/>
          <w:szCs w:val="28"/>
          <w:lang w:val="en-US" w:eastAsia="zh-CN"/>
        </w:rPr>
        <w:t xml:space="preserve"> </w:t>
      </w:r>
    </w:p>
    <w:p w14:paraId="03BF4EEE">
      <w:pPr>
        <w:pStyle w:val="3"/>
        <w:spacing w:after="0" w:line="240" w:lineRule="auto"/>
        <w:ind w:left="0"/>
        <w:jc w:val="center"/>
        <w:rPr>
          <w:b/>
          <w:sz w:val="22"/>
          <w:szCs w:val="24"/>
        </w:rPr>
      </w:pPr>
      <w:r>
        <w:rPr>
          <w:b/>
          <w:sz w:val="22"/>
          <w:szCs w:val="24"/>
        </w:rPr>
        <w:t>表3-1 项目敏感目标一览表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473"/>
        <w:gridCol w:w="1464"/>
        <w:gridCol w:w="1478"/>
        <w:gridCol w:w="1659"/>
        <w:gridCol w:w="1318"/>
      </w:tblGrid>
      <w:tr w14:paraId="5689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14:paraId="08B17801">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sz w:val="21"/>
                <w:szCs w:val="21"/>
                <w:vertAlign w:val="baseline"/>
                <w:lang w:val="en-US" w:eastAsia="zh-CN"/>
              </w:rPr>
            </w:pPr>
            <w:bookmarkStart w:id="20" w:name="_Toc29267"/>
            <w:r>
              <w:rPr>
                <w:rFonts w:hint="eastAsia" w:ascii="Times New Roman" w:hAnsi="Times New Roman" w:eastAsia="宋体" w:cs="Times New Roman"/>
                <w:b/>
                <w:sz w:val="21"/>
                <w:szCs w:val="21"/>
                <w:vertAlign w:val="baseline"/>
                <w:lang w:val="en-US" w:eastAsia="zh-CN"/>
              </w:rPr>
              <w:t>环境类别</w:t>
            </w:r>
          </w:p>
        </w:tc>
        <w:tc>
          <w:tcPr>
            <w:tcW w:w="1547" w:type="dxa"/>
            <w:vAlign w:val="center"/>
          </w:tcPr>
          <w:p w14:paraId="6FECD6D6">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211" w:firstLineChars="100"/>
              <w:jc w:val="center"/>
              <w:textAlignment w:val="auto"/>
              <w:outlineLvl w:val="1"/>
              <w:rPr>
                <w:rFonts w:hint="eastAsia" w:ascii="Times New Roman" w:hAnsi="Times New Roman" w:eastAsia="宋体" w:cs="Times New Roman"/>
                <w:b/>
                <w:sz w:val="21"/>
                <w:szCs w:val="21"/>
                <w:vertAlign w:val="baseline"/>
                <w:lang w:val="en-US" w:eastAsia="zh-CN"/>
              </w:rPr>
            </w:pPr>
            <w:r>
              <w:rPr>
                <w:rFonts w:hint="eastAsia" w:ascii="Times New Roman" w:hAnsi="Times New Roman" w:eastAsia="宋体" w:cs="Times New Roman"/>
                <w:b/>
                <w:sz w:val="21"/>
                <w:szCs w:val="21"/>
                <w:vertAlign w:val="baseline"/>
                <w:lang w:val="en-US" w:eastAsia="zh-CN"/>
              </w:rPr>
              <w:t>编号</w:t>
            </w:r>
          </w:p>
        </w:tc>
        <w:tc>
          <w:tcPr>
            <w:tcW w:w="1548" w:type="dxa"/>
            <w:vAlign w:val="center"/>
          </w:tcPr>
          <w:p w14:paraId="31823A1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sz w:val="21"/>
                <w:szCs w:val="21"/>
                <w:vertAlign w:val="baseline"/>
                <w:lang w:val="en-US" w:eastAsia="zh-CN"/>
              </w:rPr>
            </w:pPr>
            <w:r>
              <w:rPr>
                <w:rFonts w:hint="eastAsia" w:ascii="Times New Roman" w:hAnsi="Times New Roman" w:eastAsia="宋体" w:cs="Times New Roman"/>
                <w:b/>
                <w:sz w:val="21"/>
                <w:szCs w:val="21"/>
                <w:vertAlign w:val="baseline"/>
                <w:lang w:val="en-US" w:eastAsia="zh-CN"/>
              </w:rPr>
              <w:t>保护目标</w:t>
            </w:r>
          </w:p>
        </w:tc>
        <w:tc>
          <w:tcPr>
            <w:tcW w:w="1548" w:type="dxa"/>
            <w:vAlign w:val="center"/>
          </w:tcPr>
          <w:p w14:paraId="50034898">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sz w:val="21"/>
                <w:szCs w:val="21"/>
                <w:vertAlign w:val="baseline"/>
                <w:lang w:val="en-US" w:eastAsia="zh-CN"/>
              </w:rPr>
            </w:pPr>
            <w:r>
              <w:rPr>
                <w:rFonts w:hint="eastAsia" w:ascii="Times New Roman" w:hAnsi="Times New Roman" w:eastAsia="宋体" w:cs="Times New Roman"/>
                <w:b/>
                <w:sz w:val="21"/>
                <w:szCs w:val="21"/>
                <w:vertAlign w:val="baseline"/>
                <w:lang w:val="en-US" w:eastAsia="zh-CN"/>
              </w:rPr>
              <w:t>相对方位</w:t>
            </w:r>
          </w:p>
        </w:tc>
        <w:tc>
          <w:tcPr>
            <w:tcW w:w="1731" w:type="dxa"/>
            <w:vAlign w:val="center"/>
          </w:tcPr>
          <w:p w14:paraId="72AA4974">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sz w:val="21"/>
                <w:szCs w:val="21"/>
                <w:vertAlign w:val="baseline"/>
                <w:lang w:val="en-US" w:eastAsia="zh-CN"/>
              </w:rPr>
            </w:pPr>
            <w:r>
              <w:rPr>
                <w:rFonts w:hint="eastAsia" w:ascii="Times New Roman" w:hAnsi="Times New Roman" w:eastAsia="宋体" w:cs="Times New Roman"/>
                <w:b/>
                <w:sz w:val="21"/>
                <w:szCs w:val="21"/>
                <w:vertAlign w:val="baseline"/>
                <w:lang w:val="en-US" w:eastAsia="zh-CN"/>
              </w:rPr>
              <w:t>相对距离（m）</w:t>
            </w:r>
          </w:p>
        </w:tc>
        <w:tc>
          <w:tcPr>
            <w:tcW w:w="1365" w:type="dxa"/>
            <w:vAlign w:val="center"/>
          </w:tcPr>
          <w:p w14:paraId="039DA4E9">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sz w:val="21"/>
                <w:szCs w:val="21"/>
                <w:vertAlign w:val="baseline"/>
                <w:lang w:val="en-US" w:eastAsia="zh-CN"/>
              </w:rPr>
            </w:pPr>
            <w:r>
              <w:rPr>
                <w:rFonts w:hint="eastAsia" w:ascii="Times New Roman" w:hAnsi="Times New Roman" w:eastAsia="宋体" w:cs="Times New Roman"/>
                <w:b/>
                <w:sz w:val="21"/>
                <w:szCs w:val="21"/>
                <w:vertAlign w:val="baseline"/>
                <w:lang w:val="en-US" w:eastAsia="zh-CN"/>
              </w:rPr>
              <w:t>备注</w:t>
            </w:r>
          </w:p>
        </w:tc>
      </w:tr>
      <w:tr w14:paraId="3D81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vAlign w:val="center"/>
          </w:tcPr>
          <w:p w14:paraId="64B344A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大气环境</w:t>
            </w:r>
          </w:p>
        </w:tc>
        <w:tc>
          <w:tcPr>
            <w:tcW w:w="1547" w:type="dxa"/>
            <w:vAlign w:val="center"/>
          </w:tcPr>
          <w:p w14:paraId="39F5A3FA">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w:t>
            </w:r>
          </w:p>
        </w:tc>
        <w:tc>
          <w:tcPr>
            <w:tcW w:w="1548" w:type="dxa"/>
            <w:vAlign w:val="center"/>
          </w:tcPr>
          <w:p w14:paraId="4FEFC32B">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郭庙</w:t>
            </w:r>
          </w:p>
        </w:tc>
        <w:tc>
          <w:tcPr>
            <w:tcW w:w="1548" w:type="dxa"/>
            <w:vAlign w:val="center"/>
          </w:tcPr>
          <w:p w14:paraId="13AC6AF9">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N</w:t>
            </w:r>
          </w:p>
        </w:tc>
        <w:tc>
          <w:tcPr>
            <w:tcW w:w="1731" w:type="dxa"/>
            <w:vAlign w:val="center"/>
          </w:tcPr>
          <w:p w14:paraId="5BBAF349">
            <w:pPr>
              <w:pStyle w:val="50"/>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186</w:t>
            </w:r>
          </w:p>
        </w:tc>
        <w:tc>
          <w:tcPr>
            <w:tcW w:w="1365" w:type="dxa"/>
            <w:vAlign w:val="center"/>
          </w:tcPr>
          <w:p w14:paraId="44D237E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居住区(拟搬迁)</w:t>
            </w:r>
          </w:p>
        </w:tc>
      </w:tr>
      <w:tr w14:paraId="4E4E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76D868C4">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ascii="Times New Roman" w:hAnsi="Times New Roman" w:eastAsia="宋体" w:cs="Times New Roman"/>
                <w:b w:val="0"/>
                <w:bCs/>
                <w:sz w:val="21"/>
                <w:szCs w:val="21"/>
                <w:vertAlign w:val="baseline"/>
              </w:rPr>
            </w:pPr>
          </w:p>
        </w:tc>
        <w:tc>
          <w:tcPr>
            <w:tcW w:w="1547" w:type="dxa"/>
            <w:vAlign w:val="center"/>
          </w:tcPr>
          <w:p w14:paraId="470DA81A">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2</w:t>
            </w:r>
          </w:p>
        </w:tc>
        <w:tc>
          <w:tcPr>
            <w:tcW w:w="1548" w:type="dxa"/>
            <w:vAlign w:val="center"/>
          </w:tcPr>
          <w:p w14:paraId="2AF03882">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党庄村</w:t>
            </w:r>
          </w:p>
        </w:tc>
        <w:tc>
          <w:tcPr>
            <w:tcW w:w="1548" w:type="dxa"/>
            <w:vAlign w:val="center"/>
          </w:tcPr>
          <w:p w14:paraId="570493D6">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N</w:t>
            </w:r>
          </w:p>
        </w:tc>
        <w:tc>
          <w:tcPr>
            <w:tcW w:w="1731" w:type="dxa"/>
            <w:vAlign w:val="center"/>
          </w:tcPr>
          <w:p w14:paraId="2DCC4F3F">
            <w:pPr>
              <w:pStyle w:val="50"/>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468</w:t>
            </w:r>
          </w:p>
        </w:tc>
        <w:tc>
          <w:tcPr>
            <w:tcW w:w="1365" w:type="dxa"/>
            <w:vAlign w:val="center"/>
          </w:tcPr>
          <w:p w14:paraId="35D64FE8">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ascii="Times New Roman" w:hAnsi="Times New Roman" w:eastAsia="宋体" w:cs="Times New Roman"/>
                <w:b w:val="0"/>
                <w:bCs/>
                <w:sz w:val="21"/>
                <w:szCs w:val="21"/>
                <w:vertAlign w:val="baseline"/>
              </w:rPr>
            </w:pPr>
            <w:r>
              <w:rPr>
                <w:rFonts w:hint="eastAsia" w:ascii="Times New Roman" w:hAnsi="Times New Roman" w:eastAsia="宋体" w:cs="Times New Roman"/>
                <w:b w:val="0"/>
                <w:bCs/>
                <w:sz w:val="21"/>
                <w:szCs w:val="21"/>
                <w:vertAlign w:val="baseline"/>
                <w:lang w:val="en-US" w:eastAsia="zh-CN"/>
              </w:rPr>
              <w:t>居住区(拟搬迁)</w:t>
            </w:r>
          </w:p>
        </w:tc>
      </w:tr>
      <w:tr w14:paraId="5981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14:paraId="688D269D">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声环境</w:t>
            </w:r>
          </w:p>
        </w:tc>
        <w:tc>
          <w:tcPr>
            <w:tcW w:w="6374" w:type="dxa"/>
            <w:gridSpan w:val="4"/>
            <w:vAlign w:val="center"/>
          </w:tcPr>
          <w:p w14:paraId="07F8F421">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厂界外50m范围内无声环境保护目标</w:t>
            </w:r>
          </w:p>
        </w:tc>
        <w:tc>
          <w:tcPr>
            <w:tcW w:w="1365" w:type="dxa"/>
            <w:vAlign w:val="center"/>
          </w:tcPr>
          <w:p w14:paraId="2265B8A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w:t>
            </w:r>
          </w:p>
        </w:tc>
      </w:tr>
      <w:tr w14:paraId="696C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14:paraId="55051DBA">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地下水环境</w:t>
            </w:r>
          </w:p>
        </w:tc>
        <w:tc>
          <w:tcPr>
            <w:tcW w:w="6374" w:type="dxa"/>
            <w:gridSpan w:val="4"/>
            <w:vAlign w:val="center"/>
          </w:tcPr>
          <w:p w14:paraId="7891879B">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厂界500m范围内无特殊地下水资源</w:t>
            </w:r>
          </w:p>
        </w:tc>
        <w:tc>
          <w:tcPr>
            <w:tcW w:w="1365" w:type="dxa"/>
            <w:vAlign w:val="center"/>
          </w:tcPr>
          <w:p w14:paraId="21D964B3">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Times New Roman" w:hAnsi="Times New Roman" w:eastAsia="宋体" w:cs="Times New Roman"/>
                <w:b w:val="0"/>
                <w:bCs/>
                <w:sz w:val="21"/>
                <w:szCs w:val="21"/>
                <w:vertAlign w:val="baseline"/>
                <w:lang w:val="en-US" w:eastAsia="zh-CN"/>
              </w:rPr>
            </w:pPr>
          </w:p>
        </w:tc>
      </w:tr>
      <w:tr w14:paraId="0E7D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14:paraId="4B7082BA">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生态环境</w:t>
            </w:r>
          </w:p>
        </w:tc>
        <w:tc>
          <w:tcPr>
            <w:tcW w:w="6374" w:type="dxa"/>
            <w:gridSpan w:val="4"/>
            <w:vAlign w:val="center"/>
          </w:tcPr>
          <w:p w14:paraId="5CFFC224">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本项目位于港航产业园，新增用地范围内无生态环境保护目标</w:t>
            </w:r>
          </w:p>
        </w:tc>
        <w:tc>
          <w:tcPr>
            <w:tcW w:w="1365" w:type="dxa"/>
            <w:vAlign w:val="center"/>
          </w:tcPr>
          <w:p w14:paraId="67D1A3BF">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1"/>
              <w:rPr>
                <w:rFonts w:hint="eastAsia" w:ascii="Times New Roman" w:hAnsi="Times New Roman" w:eastAsia="宋体" w:cs="Times New Roman"/>
                <w:b w:val="0"/>
                <w:bCs/>
                <w:sz w:val="21"/>
                <w:szCs w:val="21"/>
                <w:vertAlign w:val="baseline"/>
                <w:lang w:val="en-US" w:eastAsia="zh-CN"/>
              </w:rPr>
            </w:pPr>
          </w:p>
        </w:tc>
      </w:tr>
    </w:tbl>
    <w:p w14:paraId="3B2641CF">
      <w:pPr>
        <w:pStyle w:val="50"/>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3.2建设内容</w:t>
      </w:r>
      <w:bookmarkEnd w:id="20"/>
    </w:p>
    <w:p w14:paraId="29CA85D8">
      <w:pPr>
        <w:pStyle w:val="16"/>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项目名称：</w:t>
      </w:r>
      <w:r>
        <w:rPr>
          <w:rFonts w:hint="default" w:ascii="Times New Roman" w:hAnsi="Times New Roman" w:eastAsia="宋体" w:cs="Times New Roman"/>
          <w:sz w:val="24"/>
          <w:szCs w:val="24"/>
        </w:rPr>
        <w:t>年产20000吨食品添加剂项目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一期</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lang w:val="en-US" w:eastAsia="zh-CN"/>
        </w:rPr>
        <w:t>。</w:t>
      </w:r>
    </w:p>
    <w:p w14:paraId="5DC7D403">
      <w:pPr>
        <w:pStyle w:val="16"/>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生产规模：项目实际总投资22000万元。</w:t>
      </w:r>
    </w:p>
    <w:p w14:paraId="616984CE">
      <w:pPr>
        <w:pStyle w:val="16"/>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建设地点：山东省菏泽市成武县大田集镇港航产业园内</w:t>
      </w:r>
    </w:p>
    <w:p w14:paraId="0A78A77E">
      <w:pPr>
        <w:pStyle w:val="16"/>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劳动定员及工作制度：本项目劳动定员40人，年工作300天，醋酸生产车间工艺间歇批次生产，单次运行时间：36h，生产200次左右，塑料包装生产车间为连续式批次生产，机器自动化程度高，每天运行24h，设备每年运行300天。</w:t>
      </w:r>
    </w:p>
    <w:p w14:paraId="6348C462">
      <w:pPr>
        <w:pStyle w:val="16"/>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该项目主要包括</w:t>
      </w:r>
      <w:r>
        <w:rPr>
          <w:rFonts w:hint="default" w:ascii="Times New Roman" w:hAnsi="Times New Roman" w:eastAsia="宋体" w:cs="Times New Roman"/>
          <w:sz w:val="24"/>
        </w:rPr>
        <w:t>主体工程</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公用工程、环保工程、辅助工程、储运工程</w:t>
      </w:r>
      <w:r>
        <w:rPr>
          <w:rFonts w:hint="eastAsia" w:ascii="Times New Roman" w:hAnsi="Times New Roman" w:eastAsia="宋体" w:cs="Times New Roman"/>
          <w:sz w:val="24"/>
          <w:lang w:val="en-US" w:eastAsia="zh-CN"/>
        </w:rPr>
        <w:t>，项目组成见表3-2。</w:t>
      </w:r>
    </w:p>
    <w:p w14:paraId="4833A881">
      <w:pPr>
        <w:pStyle w:val="3"/>
        <w:spacing w:after="0" w:line="240" w:lineRule="auto"/>
        <w:ind w:left="0"/>
        <w:jc w:val="center"/>
        <w:rPr>
          <w:rFonts w:hint="default" w:ascii="Times New Roman" w:hAnsi="Times New Roman" w:eastAsia="宋体" w:cs="Times New Roman"/>
          <w:b/>
          <w:sz w:val="22"/>
          <w:szCs w:val="24"/>
          <w:lang w:eastAsia="zh-CN"/>
        </w:rPr>
      </w:pPr>
      <w:r>
        <w:rPr>
          <w:rFonts w:hint="default" w:ascii="Times New Roman" w:hAnsi="Times New Roman" w:cs="Times New Roman"/>
          <w:b/>
          <w:sz w:val="22"/>
          <w:szCs w:val="24"/>
        </w:rPr>
        <w:t>表3-2  项目组成一览表</w:t>
      </w:r>
      <w:r>
        <w:rPr>
          <w:rFonts w:hint="default" w:ascii="Times New Roman" w:hAnsi="Times New Roman" w:cs="Times New Roman"/>
          <w:b/>
          <w:sz w:val="22"/>
          <w:szCs w:val="24"/>
          <w:lang w:eastAsia="zh-CN"/>
        </w:rPr>
        <w:t>（</w:t>
      </w:r>
      <w:r>
        <w:rPr>
          <w:rFonts w:hint="default" w:ascii="Times New Roman" w:hAnsi="Times New Roman" w:cs="Times New Roman"/>
          <w:b/>
          <w:sz w:val="22"/>
          <w:szCs w:val="24"/>
          <w:lang w:val="en-US" w:eastAsia="zh-CN"/>
        </w:rPr>
        <w:t>一期</w:t>
      </w:r>
      <w:r>
        <w:rPr>
          <w:rFonts w:hint="default" w:ascii="Times New Roman" w:hAnsi="Times New Roman" w:cs="Times New Roman"/>
          <w:b/>
          <w:sz w:val="22"/>
          <w:szCs w:val="24"/>
          <w:lang w:eastAsia="zh-CN"/>
        </w:rPr>
        <w:t>）</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210"/>
        <w:gridCol w:w="4883"/>
        <w:gridCol w:w="2010"/>
      </w:tblGrid>
      <w:tr w14:paraId="3663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11" w:type="pct"/>
            <w:noWrap w:val="0"/>
            <w:vAlign w:val="center"/>
          </w:tcPr>
          <w:p w14:paraId="22A51029">
            <w:pPr>
              <w:pStyle w:val="2"/>
              <w:adjustRightInd w:val="0"/>
              <w:snapToGrid w:val="0"/>
              <w:spacing w:after="0"/>
              <w:ind w:left="0" w:leftChars="0" w:firstLine="0" w:firstLineChars="0"/>
              <w:jc w:val="both"/>
              <w:rPr>
                <w:rFonts w:hint="default" w:ascii="Times New Roman" w:hAnsi="Times New Roman" w:cs="Times New Roman"/>
                <w:b/>
                <w:bCs/>
                <w:sz w:val="21"/>
                <w:szCs w:val="21"/>
                <w:lang w:val="en-US" w:eastAsia="zh-CN"/>
              </w:rPr>
            </w:pPr>
            <w:bookmarkStart w:id="21" w:name="_Toc504031145"/>
            <w:bookmarkStart w:id="22" w:name="_Toc31663"/>
            <w:r>
              <w:rPr>
                <w:rFonts w:hint="default" w:ascii="Times New Roman" w:hAnsi="Times New Roman" w:cs="Times New Roman"/>
                <w:b/>
                <w:bCs/>
                <w:sz w:val="21"/>
                <w:szCs w:val="21"/>
                <w:lang w:val="en-US" w:eastAsia="zh-CN"/>
              </w:rPr>
              <w:t>类别</w:t>
            </w:r>
          </w:p>
        </w:tc>
        <w:tc>
          <w:tcPr>
            <w:tcW w:w="685" w:type="pct"/>
            <w:noWrap w:val="0"/>
            <w:vAlign w:val="center"/>
          </w:tcPr>
          <w:p w14:paraId="58994D3F">
            <w:pPr>
              <w:pStyle w:val="2"/>
              <w:adjustRightInd w:val="0"/>
              <w:snapToGrid w:val="0"/>
              <w:spacing w:after="0"/>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项目</w:t>
            </w:r>
          </w:p>
          <w:p w14:paraId="22DE5B8F">
            <w:pPr>
              <w:pStyle w:val="2"/>
              <w:adjustRightInd w:val="0"/>
              <w:snapToGrid w:val="0"/>
              <w:spacing w:after="0"/>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名称</w:t>
            </w:r>
          </w:p>
        </w:tc>
        <w:tc>
          <w:tcPr>
            <w:tcW w:w="2764" w:type="pct"/>
            <w:noWrap w:val="0"/>
            <w:vAlign w:val="center"/>
          </w:tcPr>
          <w:p w14:paraId="626BCF88">
            <w:pPr>
              <w:pStyle w:val="2"/>
              <w:adjustRightInd w:val="0"/>
              <w:snapToGrid w:val="0"/>
              <w:spacing w:after="0"/>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环评内容</w:t>
            </w:r>
          </w:p>
        </w:tc>
        <w:tc>
          <w:tcPr>
            <w:tcW w:w="1138" w:type="pct"/>
            <w:noWrap w:val="0"/>
            <w:vAlign w:val="center"/>
          </w:tcPr>
          <w:p w14:paraId="06C5D2F8">
            <w:pPr>
              <w:pStyle w:val="2"/>
              <w:adjustRightInd w:val="0"/>
              <w:snapToGrid w:val="0"/>
              <w:spacing w:after="0"/>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实际建设内容</w:t>
            </w:r>
          </w:p>
        </w:tc>
      </w:tr>
      <w:tr w14:paraId="6F38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11" w:type="pct"/>
            <w:vMerge w:val="restart"/>
            <w:noWrap w:val="0"/>
            <w:vAlign w:val="center"/>
          </w:tcPr>
          <w:p w14:paraId="0F9FC74D">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主体</w:t>
            </w:r>
          </w:p>
          <w:p w14:paraId="412342F7">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工程</w:t>
            </w:r>
          </w:p>
        </w:tc>
        <w:tc>
          <w:tcPr>
            <w:tcW w:w="685" w:type="pct"/>
            <w:noWrap w:val="0"/>
            <w:vAlign w:val="center"/>
          </w:tcPr>
          <w:p w14:paraId="32743A95">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醋酸生产车间</w:t>
            </w:r>
          </w:p>
        </w:tc>
        <w:tc>
          <w:tcPr>
            <w:tcW w:w="2764" w:type="pct"/>
            <w:noWrap w:val="0"/>
            <w:vAlign w:val="center"/>
          </w:tcPr>
          <w:p w14:paraId="22999C7F">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占地面积198m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，4层，高18m。T 型过滤器×1组，2个；NF-10型，Φ400*600； 增压过滤器×1组，2个；NF-10型，Φ800*2000； 精细过滤器×1组，2个；NF-10型，Φ1000*2500； 纤维反渗透过滤设备×1组，2个；NF-10型；精馏塔×1台，Φ600*23500；一级冷凝器×1台，S=30m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 Φ500*2500；二级冷凝器×1台，S=6m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，Φ273*2500；一级冷却器；回流罐等。 醋酸生产区还包括8个立式双封头储罐，直径1.8m，高 3m，容量7.5m</w:t>
            </w:r>
            <w:r>
              <w:rPr>
                <w:rFonts w:hint="default" w:ascii="Times New Roman" w:hAnsi="Times New Roman" w:eastAsia="宋体" w:cs="Times New Roman"/>
                <w:sz w:val="21"/>
                <w:szCs w:val="21"/>
                <w:vertAlign w:val="superscript"/>
              </w:rPr>
              <w:t>3</w:t>
            </w:r>
          </w:p>
        </w:tc>
        <w:tc>
          <w:tcPr>
            <w:tcW w:w="1138" w:type="pct"/>
            <w:noWrap w:val="0"/>
            <w:vAlign w:val="center"/>
          </w:tcPr>
          <w:p w14:paraId="24197755">
            <w:pPr>
              <w:autoSpaceDE w:val="0"/>
              <w:autoSpaceDN w:val="0"/>
              <w:adjustRightInd w:val="0"/>
              <w:snapToGrid w:val="0"/>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1BE9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11" w:type="pct"/>
            <w:vMerge w:val="continue"/>
            <w:noWrap w:val="0"/>
            <w:vAlign w:val="center"/>
          </w:tcPr>
          <w:p w14:paraId="32C7E60A">
            <w:pPr>
              <w:autoSpaceDE w:val="0"/>
              <w:autoSpaceDN w:val="0"/>
              <w:adjustRightInd w:val="0"/>
              <w:snapToGrid w:val="0"/>
              <w:jc w:val="center"/>
              <w:rPr>
                <w:rFonts w:hint="default" w:ascii="Times New Roman" w:hAnsi="Times New Roman" w:cs="Times New Roman"/>
              </w:rPr>
            </w:pPr>
          </w:p>
        </w:tc>
        <w:tc>
          <w:tcPr>
            <w:tcW w:w="685" w:type="pct"/>
            <w:noWrap w:val="0"/>
            <w:vAlign w:val="center"/>
          </w:tcPr>
          <w:p w14:paraId="66C86B0F">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塑料包装生产车间</w:t>
            </w:r>
          </w:p>
        </w:tc>
        <w:tc>
          <w:tcPr>
            <w:tcW w:w="2764" w:type="pct"/>
            <w:noWrap w:val="0"/>
            <w:vAlign w:val="center"/>
          </w:tcPr>
          <w:p w14:paraId="61E1AAF5">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建筑面积720m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，1层，高8m。主要包含：混料机：1台； 吹塑机：数量：2台，型号：TDB-50F； 破碎机：数量：1台，规格：50cm×40cm； 空压机：型号：SE-20PM，1台；EAS20J/10，1台。</w:t>
            </w:r>
          </w:p>
        </w:tc>
        <w:tc>
          <w:tcPr>
            <w:tcW w:w="1138" w:type="pct"/>
            <w:noWrap w:val="0"/>
            <w:vAlign w:val="center"/>
          </w:tcPr>
          <w:p w14:paraId="53D5A1B6">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3647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1" w:type="pct"/>
            <w:vMerge w:val="restart"/>
            <w:noWrap w:val="0"/>
            <w:vAlign w:val="center"/>
          </w:tcPr>
          <w:p w14:paraId="753FDAEF">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储运工程</w:t>
            </w:r>
          </w:p>
        </w:tc>
        <w:tc>
          <w:tcPr>
            <w:tcW w:w="685" w:type="pct"/>
            <w:noWrap w:val="0"/>
            <w:vAlign w:val="center"/>
          </w:tcPr>
          <w:p w14:paraId="0BB1D47B">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原料储存罐区</w:t>
            </w:r>
          </w:p>
        </w:tc>
        <w:tc>
          <w:tcPr>
            <w:tcW w:w="2764" w:type="pct"/>
            <w:noWrap w:val="0"/>
            <w:vAlign w:val="center"/>
          </w:tcPr>
          <w:p w14:paraId="02B31BED">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1座，占地面积450m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。原料储罐为固定顶罐，3个，直</w:t>
            </w:r>
            <w:r>
              <w:rPr>
                <w:rFonts w:hint="eastAsia" w:ascii="Times New Roman" w:hAnsi="Times New Roman" w:eastAsia="宋体" w:cs="Times New Roman"/>
                <w:sz w:val="21"/>
                <w:szCs w:val="21"/>
                <w:lang w:val="en-US" w:eastAsia="zh-CN"/>
              </w:rPr>
              <w:t>径</w:t>
            </w:r>
            <w:r>
              <w:rPr>
                <w:rFonts w:hint="default" w:ascii="Times New Roman" w:hAnsi="Times New Roman" w:eastAsia="宋体" w:cs="Times New Roman"/>
                <w:sz w:val="21"/>
                <w:szCs w:val="21"/>
              </w:rPr>
              <w:t>4m，高6m，容量75</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，围堰等效半径7.5m。主要 用于储存原料醋酸。</w:t>
            </w:r>
          </w:p>
        </w:tc>
        <w:tc>
          <w:tcPr>
            <w:tcW w:w="1138" w:type="pct"/>
            <w:noWrap w:val="0"/>
            <w:vAlign w:val="center"/>
          </w:tcPr>
          <w:p w14:paraId="15328199">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rPr>
              <w:t>原料储罐为固定顶罐，</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个，直</w:t>
            </w:r>
            <w:r>
              <w:rPr>
                <w:rFonts w:hint="eastAsia" w:ascii="Times New Roman" w:hAnsi="Times New Roman" w:eastAsia="宋体" w:cs="Times New Roman"/>
                <w:sz w:val="21"/>
                <w:szCs w:val="21"/>
                <w:lang w:val="en-US" w:eastAsia="zh-CN"/>
              </w:rPr>
              <w:t>径</w:t>
            </w:r>
            <w:r>
              <w:rPr>
                <w:rFonts w:hint="default" w:ascii="Times New Roman" w:hAnsi="Times New Roman" w:eastAsia="宋体" w:cs="Times New Roman"/>
                <w:sz w:val="21"/>
                <w:szCs w:val="21"/>
              </w:rPr>
              <w:t>4m，高6m，容量75</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r>
      <w:tr w14:paraId="218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1" w:type="pct"/>
            <w:vMerge w:val="continue"/>
            <w:noWrap w:val="0"/>
            <w:vAlign w:val="center"/>
          </w:tcPr>
          <w:p w14:paraId="029E1054">
            <w:pPr>
              <w:autoSpaceDE w:val="0"/>
              <w:autoSpaceDN w:val="0"/>
              <w:adjustRightInd w:val="0"/>
              <w:snapToGrid w:val="0"/>
              <w:jc w:val="center"/>
              <w:rPr>
                <w:rFonts w:hint="default" w:ascii="Times New Roman" w:hAnsi="Times New Roman" w:cs="Times New Roman"/>
              </w:rPr>
            </w:pPr>
          </w:p>
        </w:tc>
        <w:tc>
          <w:tcPr>
            <w:tcW w:w="685" w:type="pct"/>
            <w:noWrap w:val="0"/>
            <w:vAlign w:val="center"/>
          </w:tcPr>
          <w:p w14:paraId="3F2DFCBD">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危废暂存间</w:t>
            </w:r>
          </w:p>
        </w:tc>
        <w:tc>
          <w:tcPr>
            <w:tcW w:w="2764" w:type="pct"/>
            <w:noWrap w:val="0"/>
            <w:vAlign w:val="center"/>
          </w:tcPr>
          <w:p w14:paraId="0979802E">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1座，占地面积9m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，主要用于项目危险废物暂存。</w:t>
            </w:r>
          </w:p>
        </w:tc>
        <w:tc>
          <w:tcPr>
            <w:tcW w:w="1138" w:type="pct"/>
            <w:noWrap w:val="0"/>
            <w:vAlign w:val="center"/>
          </w:tcPr>
          <w:p w14:paraId="1C14BF08">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4FC1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1" w:type="pct"/>
            <w:vMerge w:val="continue"/>
            <w:noWrap w:val="0"/>
            <w:vAlign w:val="center"/>
          </w:tcPr>
          <w:p w14:paraId="4AAE2154">
            <w:pPr>
              <w:autoSpaceDE w:val="0"/>
              <w:autoSpaceDN w:val="0"/>
              <w:adjustRightInd w:val="0"/>
              <w:snapToGrid w:val="0"/>
              <w:jc w:val="center"/>
              <w:rPr>
                <w:rFonts w:hint="default" w:ascii="Times New Roman" w:hAnsi="Times New Roman" w:eastAsia="宋体" w:cs="Times New Roman"/>
                <w:szCs w:val="21"/>
                <w:lang w:val="en-US" w:eastAsia="zh-CN"/>
              </w:rPr>
            </w:pPr>
          </w:p>
        </w:tc>
        <w:tc>
          <w:tcPr>
            <w:tcW w:w="685" w:type="pct"/>
            <w:noWrap w:val="0"/>
            <w:vAlign w:val="center"/>
          </w:tcPr>
          <w:p w14:paraId="71E180A0">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产品仓库</w:t>
            </w:r>
          </w:p>
        </w:tc>
        <w:tc>
          <w:tcPr>
            <w:tcW w:w="2764" w:type="pct"/>
            <w:noWrap w:val="0"/>
            <w:vAlign w:val="center"/>
          </w:tcPr>
          <w:p w14:paraId="3702323E">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占地面积972m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，用于储存成品醋酸，主要设置3个储罐，固定顶罐，直经4m，高6m，容量75</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，围堰等效半 径7.5m。</w:t>
            </w:r>
          </w:p>
        </w:tc>
        <w:tc>
          <w:tcPr>
            <w:tcW w:w="1138" w:type="pct"/>
            <w:noWrap w:val="0"/>
            <w:vAlign w:val="center"/>
          </w:tcPr>
          <w:p w14:paraId="75457FBD">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5C29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1" w:type="pct"/>
            <w:vMerge w:val="continue"/>
            <w:noWrap w:val="0"/>
            <w:vAlign w:val="center"/>
          </w:tcPr>
          <w:p w14:paraId="4307084A">
            <w:pPr>
              <w:autoSpaceDE w:val="0"/>
              <w:autoSpaceDN w:val="0"/>
              <w:adjustRightInd w:val="0"/>
              <w:snapToGrid w:val="0"/>
              <w:jc w:val="center"/>
              <w:rPr>
                <w:rFonts w:hint="default" w:ascii="Times New Roman" w:hAnsi="Times New Roman" w:eastAsia="宋体" w:cs="Times New Roman"/>
                <w:szCs w:val="21"/>
                <w:lang w:val="en-US" w:eastAsia="zh-CN"/>
              </w:rPr>
            </w:pPr>
          </w:p>
        </w:tc>
        <w:tc>
          <w:tcPr>
            <w:tcW w:w="685" w:type="pct"/>
            <w:noWrap w:val="0"/>
            <w:vAlign w:val="center"/>
          </w:tcPr>
          <w:p w14:paraId="3523C98A">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包材仓库</w:t>
            </w:r>
          </w:p>
        </w:tc>
        <w:tc>
          <w:tcPr>
            <w:tcW w:w="2764" w:type="pct"/>
            <w:noWrap w:val="0"/>
            <w:vAlign w:val="center"/>
          </w:tcPr>
          <w:p w14:paraId="68294E70">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占地面积648m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，一层，高8m。</w:t>
            </w:r>
            <w:r>
              <w:rPr>
                <w:rFonts w:hint="default" w:ascii="Times New Roman" w:hAnsi="Times New Roman" w:eastAsia="宋体" w:cs="Times New Roman"/>
                <w:sz w:val="21"/>
                <w:szCs w:val="21"/>
                <w:lang w:val="en-US" w:eastAsia="zh-CN"/>
              </w:rPr>
              <w:t>用于存放产品的塑料包装。</w:t>
            </w:r>
          </w:p>
        </w:tc>
        <w:tc>
          <w:tcPr>
            <w:tcW w:w="1138" w:type="pct"/>
            <w:noWrap w:val="0"/>
            <w:vAlign w:val="center"/>
          </w:tcPr>
          <w:p w14:paraId="7C145B60">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2689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11" w:type="pct"/>
            <w:vMerge w:val="restart"/>
            <w:noWrap w:val="0"/>
            <w:vAlign w:val="center"/>
          </w:tcPr>
          <w:p w14:paraId="35222E27">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辅助工程</w:t>
            </w:r>
          </w:p>
        </w:tc>
        <w:tc>
          <w:tcPr>
            <w:tcW w:w="685" w:type="pct"/>
            <w:noWrap w:val="0"/>
            <w:vAlign w:val="center"/>
          </w:tcPr>
          <w:p w14:paraId="2475268D">
            <w:pPr>
              <w:pStyle w:val="2"/>
              <w:adjustRightInd w:val="0"/>
              <w:snapToGrid w:val="0"/>
              <w:spacing w:after="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生活办公</w:t>
            </w:r>
          </w:p>
        </w:tc>
        <w:tc>
          <w:tcPr>
            <w:tcW w:w="2764" w:type="pct"/>
            <w:noWrap w:val="0"/>
            <w:vAlign w:val="center"/>
          </w:tcPr>
          <w:p w14:paraId="25D2385C">
            <w:pPr>
              <w:pStyle w:val="2"/>
              <w:adjustRightInd w:val="0"/>
              <w:snapToGrid w:val="0"/>
              <w:spacing w:after="0"/>
              <w:ind w:left="0" w:leftChars="0" w:firstLine="0" w:firstLineChars="0"/>
              <w:jc w:val="left"/>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sz w:val="21"/>
                <w:szCs w:val="21"/>
              </w:rPr>
              <w:t>3层，高12m，占地面积630m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lang w:eastAsia="zh-CN"/>
              </w:rPr>
              <w:t>。</w:t>
            </w:r>
          </w:p>
        </w:tc>
        <w:tc>
          <w:tcPr>
            <w:tcW w:w="1138" w:type="pct"/>
            <w:noWrap w:val="0"/>
            <w:vAlign w:val="center"/>
          </w:tcPr>
          <w:p w14:paraId="60B367C0">
            <w:pPr>
              <w:pStyle w:val="2"/>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lang w:val="en-US" w:eastAsia="zh-CN"/>
              </w:rPr>
              <w:t>与环评一致</w:t>
            </w:r>
          </w:p>
        </w:tc>
      </w:tr>
      <w:tr w14:paraId="5529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11" w:type="pct"/>
            <w:vMerge w:val="continue"/>
            <w:noWrap w:val="0"/>
            <w:vAlign w:val="center"/>
          </w:tcPr>
          <w:p w14:paraId="7F683F8D">
            <w:pPr>
              <w:autoSpaceDE w:val="0"/>
              <w:autoSpaceDN w:val="0"/>
              <w:adjustRightInd w:val="0"/>
              <w:snapToGrid w:val="0"/>
              <w:jc w:val="center"/>
              <w:rPr>
                <w:rFonts w:hint="default" w:ascii="Times New Roman" w:hAnsi="Times New Roman" w:cs="Times New Roman"/>
              </w:rPr>
            </w:pPr>
          </w:p>
        </w:tc>
        <w:tc>
          <w:tcPr>
            <w:tcW w:w="685" w:type="pct"/>
            <w:noWrap w:val="0"/>
            <w:vAlign w:val="center"/>
          </w:tcPr>
          <w:p w14:paraId="3DCBDA2F">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成品包装车 间</w:t>
            </w:r>
          </w:p>
        </w:tc>
        <w:tc>
          <w:tcPr>
            <w:tcW w:w="2764" w:type="pct"/>
            <w:noWrap w:val="0"/>
            <w:vAlign w:val="center"/>
          </w:tcPr>
          <w:p w14:paraId="591E20A8">
            <w:pPr>
              <w:autoSpaceDE w:val="0"/>
              <w:autoSpaceDN w:val="0"/>
              <w:adjustRightInd w:val="0"/>
              <w:snapToGrid w:val="0"/>
              <w:jc w:val="left"/>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座，占地面积864m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，1层，高8m。 生产设备为全自动包装设备。</w:t>
            </w:r>
          </w:p>
        </w:tc>
        <w:tc>
          <w:tcPr>
            <w:tcW w:w="1138" w:type="pct"/>
            <w:noWrap w:val="0"/>
            <w:vAlign w:val="center"/>
          </w:tcPr>
          <w:p w14:paraId="3B2A7F8D">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lang w:val="en-US" w:eastAsia="zh-CN"/>
              </w:rPr>
              <w:t>与环评一致</w:t>
            </w:r>
          </w:p>
        </w:tc>
      </w:tr>
      <w:tr w14:paraId="597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11" w:type="pct"/>
            <w:vMerge w:val="continue"/>
            <w:noWrap w:val="0"/>
            <w:vAlign w:val="center"/>
          </w:tcPr>
          <w:p w14:paraId="6BB778B4">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p>
        </w:tc>
        <w:tc>
          <w:tcPr>
            <w:tcW w:w="685" w:type="pct"/>
            <w:noWrap w:val="0"/>
            <w:vAlign w:val="center"/>
          </w:tcPr>
          <w:p w14:paraId="16045BD7">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循环水池</w:t>
            </w:r>
          </w:p>
        </w:tc>
        <w:tc>
          <w:tcPr>
            <w:tcW w:w="2764" w:type="pct"/>
            <w:noWrap w:val="0"/>
            <w:vAlign w:val="center"/>
          </w:tcPr>
          <w:p w14:paraId="29C3B770">
            <w:pPr>
              <w:autoSpaceDE w:val="0"/>
              <w:autoSpaceDN w:val="0"/>
              <w:adjustRightInd w:val="0"/>
              <w:snapToGrid w:val="0"/>
              <w:jc w:val="left"/>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占地面积72m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，池深3m，容积为216m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38" w:type="pct"/>
            <w:noWrap w:val="0"/>
            <w:vAlign w:val="center"/>
          </w:tcPr>
          <w:p w14:paraId="12C1DF27">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lang w:val="en-US" w:eastAsia="zh-CN"/>
              </w:rPr>
              <w:t>与环评一致</w:t>
            </w:r>
          </w:p>
        </w:tc>
      </w:tr>
      <w:tr w14:paraId="7CDC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11" w:type="pct"/>
            <w:vMerge w:val="restart"/>
            <w:noWrap w:val="0"/>
            <w:vAlign w:val="center"/>
          </w:tcPr>
          <w:p w14:paraId="394FDABD">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公用工程</w:t>
            </w:r>
          </w:p>
        </w:tc>
        <w:tc>
          <w:tcPr>
            <w:tcW w:w="685" w:type="pct"/>
            <w:noWrap w:val="0"/>
            <w:vAlign w:val="center"/>
          </w:tcPr>
          <w:p w14:paraId="42CCE110">
            <w:pPr>
              <w:autoSpaceDE w:val="0"/>
              <w:autoSpaceDN w:val="0"/>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采暖设施</w:t>
            </w:r>
          </w:p>
        </w:tc>
        <w:tc>
          <w:tcPr>
            <w:tcW w:w="2764" w:type="pct"/>
            <w:noWrap w:val="0"/>
            <w:vAlign w:val="center"/>
          </w:tcPr>
          <w:p w14:paraId="6B60101F">
            <w:pPr>
              <w:pStyle w:val="2"/>
              <w:adjustRightInd w:val="0"/>
              <w:snapToGrid w:val="0"/>
              <w:spacing w:after="0"/>
              <w:ind w:left="0" w:leftChars="0" w:firstLine="0" w:firstLineChars="0"/>
              <w:jc w:val="left"/>
              <w:rPr>
                <w:rFonts w:hint="default" w:ascii="Times New Roman" w:hAnsi="Times New Roman" w:cs="Times New Roman"/>
                <w:kern w:val="2"/>
                <w:sz w:val="21"/>
                <w:szCs w:val="21"/>
                <w:lang w:val="en-US" w:eastAsia="zh-CN"/>
              </w:rPr>
            </w:pPr>
            <w:r>
              <w:rPr>
                <w:rFonts w:hint="default" w:ascii="Times New Roman" w:hAnsi="Times New Roman" w:eastAsia="宋体" w:cs="Times New Roman"/>
                <w:sz w:val="21"/>
                <w:szCs w:val="21"/>
              </w:rPr>
              <w:t>生产和生活均由园区集中供热。</w:t>
            </w:r>
          </w:p>
        </w:tc>
        <w:tc>
          <w:tcPr>
            <w:tcW w:w="1138" w:type="pct"/>
            <w:noWrap w:val="0"/>
            <w:vAlign w:val="center"/>
          </w:tcPr>
          <w:p w14:paraId="3D033D0B">
            <w:pPr>
              <w:pStyle w:val="2"/>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lang w:val="en-US" w:eastAsia="zh-CN"/>
              </w:rPr>
              <w:t>与环评一致</w:t>
            </w:r>
          </w:p>
        </w:tc>
      </w:tr>
      <w:tr w14:paraId="5815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11" w:type="pct"/>
            <w:vMerge w:val="continue"/>
            <w:noWrap w:val="0"/>
            <w:vAlign w:val="center"/>
          </w:tcPr>
          <w:p w14:paraId="017753F9">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p>
        </w:tc>
        <w:tc>
          <w:tcPr>
            <w:tcW w:w="685" w:type="pct"/>
            <w:noWrap w:val="0"/>
            <w:vAlign w:val="center"/>
          </w:tcPr>
          <w:p w14:paraId="2D3062F9">
            <w:pPr>
              <w:autoSpaceDE w:val="0"/>
              <w:autoSpaceDN w:val="0"/>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rPr>
              <w:t>供水设施</w:t>
            </w:r>
          </w:p>
        </w:tc>
        <w:tc>
          <w:tcPr>
            <w:tcW w:w="2764" w:type="pct"/>
            <w:noWrap w:val="0"/>
            <w:vAlign w:val="center"/>
          </w:tcPr>
          <w:p w14:paraId="520BDB34">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由市政自来水管网供给。</w:t>
            </w:r>
          </w:p>
        </w:tc>
        <w:tc>
          <w:tcPr>
            <w:tcW w:w="1138" w:type="pct"/>
            <w:noWrap w:val="0"/>
            <w:vAlign w:val="center"/>
          </w:tcPr>
          <w:p w14:paraId="5C7F8CE7">
            <w:pPr>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2AE0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11" w:type="pct"/>
            <w:vMerge w:val="continue"/>
            <w:noWrap w:val="0"/>
            <w:vAlign w:val="center"/>
          </w:tcPr>
          <w:p w14:paraId="6C0D4198">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p>
        </w:tc>
        <w:tc>
          <w:tcPr>
            <w:tcW w:w="685" w:type="pct"/>
            <w:noWrap w:val="0"/>
            <w:vAlign w:val="center"/>
          </w:tcPr>
          <w:p w14:paraId="1C08AA3B">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供电设施</w:t>
            </w:r>
          </w:p>
        </w:tc>
        <w:tc>
          <w:tcPr>
            <w:tcW w:w="2764" w:type="pct"/>
            <w:noWrap w:val="0"/>
            <w:vAlign w:val="center"/>
          </w:tcPr>
          <w:p w14:paraId="225643F2">
            <w:pPr>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由市政电网提供</w:t>
            </w:r>
            <w:r>
              <w:rPr>
                <w:rFonts w:hint="default" w:ascii="Times New Roman" w:hAnsi="Times New Roman" w:eastAsia="宋体" w:cs="Times New Roman"/>
                <w:sz w:val="21"/>
                <w:szCs w:val="21"/>
                <w:lang w:eastAsia="zh-CN"/>
              </w:rPr>
              <w:t>。</w:t>
            </w:r>
          </w:p>
        </w:tc>
        <w:tc>
          <w:tcPr>
            <w:tcW w:w="1138" w:type="pct"/>
            <w:noWrap w:val="0"/>
            <w:vAlign w:val="center"/>
          </w:tcPr>
          <w:p w14:paraId="17D90448">
            <w:pPr>
              <w:jc w:val="center"/>
              <w:rPr>
                <w:rFonts w:hint="default" w:ascii="Times New Roman" w:hAnsi="Times New Roman" w:eastAsia="宋体" w:cs="Times New Roman"/>
                <w:szCs w:val="21"/>
              </w:rPr>
            </w:pPr>
            <w:r>
              <w:rPr>
                <w:rFonts w:hint="default" w:ascii="Times New Roman" w:hAnsi="Times New Roman" w:cs="Times New Roman"/>
                <w:lang w:val="en-US" w:eastAsia="zh-CN"/>
              </w:rPr>
              <w:t>与环评一致</w:t>
            </w:r>
          </w:p>
        </w:tc>
      </w:tr>
      <w:tr w14:paraId="0E2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11" w:type="pct"/>
            <w:vMerge w:val="continue"/>
            <w:noWrap w:val="0"/>
            <w:vAlign w:val="center"/>
          </w:tcPr>
          <w:p w14:paraId="63B35B96">
            <w:pPr>
              <w:jc w:val="center"/>
              <w:rPr>
                <w:rFonts w:hint="default" w:ascii="Times New Roman" w:hAnsi="Times New Roman" w:cs="Times New Roman"/>
              </w:rPr>
            </w:pPr>
          </w:p>
        </w:tc>
        <w:tc>
          <w:tcPr>
            <w:tcW w:w="685" w:type="pct"/>
            <w:noWrap w:val="0"/>
            <w:vAlign w:val="center"/>
          </w:tcPr>
          <w:p w14:paraId="4D22EF6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排水设施</w:t>
            </w:r>
          </w:p>
        </w:tc>
        <w:tc>
          <w:tcPr>
            <w:tcW w:w="2764" w:type="pct"/>
            <w:noWrap w:val="0"/>
            <w:vAlign w:val="center"/>
          </w:tcPr>
          <w:p w14:paraId="40680C3E">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雨污分流，雨水经雨水管道排入周边雨水管网；生活污水 经化粪池后排入市政污水管网进入港航产业园污水处理厂处理。</w:t>
            </w:r>
          </w:p>
        </w:tc>
        <w:tc>
          <w:tcPr>
            <w:tcW w:w="1138" w:type="pct"/>
            <w:noWrap w:val="0"/>
            <w:vAlign w:val="center"/>
          </w:tcPr>
          <w:p w14:paraId="5F3BDAA7">
            <w:pPr>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205B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11" w:type="pct"/>
            <w:vMerge w:val="continue"/>
            <w:noWrap w:val="0"/>
            <w:vAlign w:val="center"/>
          </w:tcPr>
          <w:p w14:paraId="10FCFC33">
            <w:pPr>
              <w:jc w:val="center"/>
              <w:rPr>
                <w:rFonts w:hint="default" w:ascii="Times New Roman" w:hAnsi="Times New Roman" w:eastAsia="宋体" w:cs="Times New Roman"/>
                <w:szCs w:val="21"/>
                <w:lang w:val="en-US" w:eastAsia="zh-CN"/>
              </w:rPr>
            </w:pPr>
          </w:p>
        </w:tc>
        <w:tc>
          <w:tcPr>
            <w:tcW w:w="685" w:type="pct"/>
            <w:noWrap w:val="0"/>
            <w:vAlign w:val="center"/>
          </w:tcPr>
          <w:p w14:paraId="3424CA1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应急水池</w:t>
            </w:r>
          </w:p>
        </w:tc>
        <w:tc>
          <w:tcPr>
            <w:tcW w:w="2764" w:type="pct"/>
            <w:noWrap w:val="0"/>
            <w:vAlign w:val="center"/>
          </w:tcPr>
          <w:p w14:paraId="3DB5CFC4">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面积为60m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，为地下应急池，池深6m，容积为360m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。事故状态下产生的废水应收集到事故应急水池中。</w:t>
            </w:r>
          </w:p>
        </w:tc>
        <w:tc>
          <w:tcPr>
            <w:tcW w:w="1138" w:type="pct"/>
            <w:noWrap w:val="0"/>
            <w:vAlign w:val="center"/>
          </w:tcPr>
          <w:p w14:paraId="3D8EB138">
            <w:pPr>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4816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11" w:type="pct"/>
            <w:vMerge w:val="continue"/>
            <w:noWrap w:val="0"/>
            <w:vAlign w:val="center"/>
          </w:tcPr>
          <w:p w14:paraId="147F9719">
            <w:pPr>
              <w:jc w:val="center"/>
              <w:rPr>
                <w:rFonts w:hint="default" w:ascii="Times New Roman" w:hAnsi="Times New Roman" w:eastAsia="宋体" w:cs="Times New Roman"/>
                <w:szCs w:val="21"/>
                <w:lang w:val="en-US" w:eastAsia="zh-CN"/>
              </w:rPr>
            </w:pPr>
          </w:p>
        </w:tc>
        <w:tc>
          <w:tcPr>
            <w:tcW w:w="685" w:type="pct"/>
            <w:noWrap w:val="0"/>
            <w:vAlign w:val="center"/>
          </w:tcPr>
          <w:p w14:paraId="774CF57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消防水池</w:t>
            </w:r>
          </w:p>
        </w:tc>
        <w:tc>
          <w:tcPr>
            <w:tcW w:w="2764" w:type="pct"/>
            <w:noWrap w:val="0"/>
            <w:vAlign w:val="center"/>
          </w:tcPr>
          <w:p w14:paraId="63198FE3">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占地面积为144m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，池深5m，容积为720m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eastAsia="zh-CN"/>
              </w:rPr>
              <w:t>。</w:t>
            </w:r>
          </w:p>
        </w:tc>
        <w:tc>
          <w:tcPr>
            <w:tcW w:w="1138" w:type="pct"/>
            <w:noWrap w:val="0"/>
            <w:vAlign w:val="center"/>
          </w:tcPr>
          <w:p w14:paraId="66481366">
            <w:pPr>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与环评一致</w:t>
            </w:r>
          </w:p>
        </w:tc>
      </w:tr>
      <w:tr w14:paraId="119A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1" w:type="pct"/>
            <w:vMerge w:val="restart"/>
            <w:noWrap w:val="0"/>
            <w:vAlign w:val="center"/>
          </w:tcPr>
          <w:p w14:paraId="4312CFEE">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环保</w:t>
            </w:r>
          </w:p>
          <w:p w14:paraId="728549C5">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工程</w:t>
            </w:r>
          </w:p>
        </w:tc>
        <w:tc>
          <w:tcPr>
            <w:tcW w:w="685" w:type="pct"/>
            <w:vMerge w:val="restart"/>
            <w:noWrap w:val="0"/>
            <w:vAlign w:val="center"/>
          </w:tcPr>
          <w:p w14:paraId="460FE421">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废水</w:t>
            </w:r>
          </w:p>
        </w:tc>
        <w:tc>
          <w:tcPr>
            <w:tcW w:w="2764" w:type="pct"/>
            <w:noWrap w:val="0"/>
            <w:vAlign w:val="center"/>
          </w:tcPr>
          <w:p w14:paraId="5F259DD9">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雨水经雨水管道排入周边雨水管网，生活污水通过化粪池 处理后排入市政污水管网。最终依托港航产业园的污水处 理厂进行处理。</w:t>
            </w:r>
          </w:p>
        </w:tc>
        <w:tc>
          <w:tcPr>
            <w:tcW w:w="1138" w:type="pct"/>
            <w:noWrap w:val="0"/>
            <w:vAlign w:val="center"/>
          </w:tcPr>
          <w:p w14:paraId="6AF4EFFE">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与环评一致</w:t>
            </w:r>
          </w:p>
        </w:tc>
      </w:tr>
      <w:tr w14:paraId="0A84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1" w:type="pct"/>
            <w:vMerge w:val="continue"/>
            <w:noWrap w:val="0"/>
            <w:vAlign w:val="center"/>
          </w:tcPr>
          <w:p w14:paraId="597621BB">
            <w:pPr>
              <w:autoSpaceDE w:val="0"/>
              <w:autoSpaceDN w:val="0"/>
              <w:adjustRightInd w:val="0"/>
              <w:snapToGrid w:val="0"/>
              <w:jc w:val="center"/>
              <w:rPr>
                <w:rFonts w:hint="default" w:ascii="Times New Roman" w:hAnsi="Times New Roman" w:cs="Times New Roman"/>
              </w:rPr>
            </w:pPr>
          </w:p>
        </w:tc>
        <w:tc>
          <w:tcPr>
            <w:tcW w:w="685" w:type="pct"/>
            <w:vMerge w:val="continue"/>
            <w:noWrap w:val="0"/>
            <w:vAlign w:val="center"/>
          </w:tcPr>
          <w:p w14:paraId="0F4F3D93">
            <w:pPr>
              <w:autoSpaceDE w:val="0"/>
              <w:autoSpaceDN w:val="0"/>
              <w:adjustRightInd w:val="0"/>
              <w:snapToGrid w:val="0"/>
              <w:jc w:val="center"/>
              <w:rPr>
                <w:rFonts w:hint="default" w:ascii="Times New Roman" w:hAnsi="Times New Roman" w:cs="Times New Roman"/>
              </w:rPr>
            </w:pPr>
          </w:p>
        </w:tc>
        <w:tc>
          <w:tcPr>
            <w:tcW w:w="2764" w:type="pct"/>
            <w:noWrap w:val="0"/>
            <w:vAlign w:val="center"/>
          </w:tcPr>
          <w:p w14:paraId="4E0F99ED">
            <w:pPr>
              <w:autoSpaceDE w:val="0"/>
              <w:autoSpaceDN w:val="0"/>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碱喷淋产生的生产废水经过污水处理一体化系统处理后， 排入市政污水管网。最终依托港航产业园的污水处理厂进 行处理。</w:t>
            </w:r>
          </w:p>
        </w:tc>
        <w:tc>
          <w:tcPr>
            <w:tcW w:w="1138" w:type="pct"/>
            <w:noWrap w:val="0"/>
            <w:vAlign w:val="center"/>
          </w:tcPr>
          <w:p w14:paraId="7B705F4D">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与环评一致</w:t>
            </w:r>
          </w:p>
        </w:tc>
      </w:tr>
      <w:tr w14:paraId="6B90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411" w:type="pct"/>
            <w:vMerge w:val="continue"/>
            <w:noWrap w:val="0"/>
            <w:vAlign w:val="center"/>
          </w:tcPr>
          <w:p w14:paraId="28B73FBC">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p>
        </w:tc>
        <w:tc>
          <w:tcPr>
            <w:tcW w:w="685" w:type="pct"/>
            <w:vMerge w:val="restart"/>
            <w:noWrap w:val="0"/>
            <w:vAlign w:val="center"/>
          </w:tcPr>
          <w:p w14:paraId="5C105684">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2764" w:type="pct"/>
            <w:noWrap w:val="0"/>
            <w:vAlign w:val="center"/>
          </w:tcPr>
          <w:p w14:paraId="6538501A">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醋酸生产车间的过滤、精馏、分装以及存储的废气经过管 道收集后通过碱喷淋+活性炭吸附装置对VOCs进行有效 去除后，通过高度为15m，内径为0.4m的排气筒（P2） 排放。</w:t>
            </w:r>
          </w:p>
        </w:tc>
        <w:tc>
          <w:tcPr>
            <w:tcW w:w="1138" w:type="pct"/>
            <w:noWrap w:val="0"/>
            <w:vAlign w:val="center"/>
          </w:tcPr>
          <w:p w14:paraId="1404A1E5">
            <w:pPr>
              <w:jc w:val="center"/>
              <w:rPr>
                <w:rFonts w:hint="default" w:ascii="Times New Roman" w:hAnsi="Times New Roman" w:eastAsia="宋体" w:cs="Times New Roman"/>
                <w:sz w:val="21"/>
                <w:szCs w:val="21"/>
              </w:rPr>
            </w:pPr>
            <w:r>
              <w:rPr>
                <w:rFonts w:hint="default" w:ascii="Times New Roman" w:hAnsi="Times New Roman" w:cs="Times New Roman"/>
                <w:lang w:val="en-US" w:eastAsia="zh-CN"/>
              </w:rPr>
              <w:t>与环评一致</w:t>
            </w:r>
          </w:p>
        </w:tc>
      </w:tr>
      <w:tr w14:paraId="5DA7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11" w:type="pct"/>
            <w:vMerge w:val="continue"/>
            <w:noWrap w:val="0"/>
            <w:vAlign w:val="center"/>
          </w:tcPr>
          <w:p w14:paraId="03D1DEBC">
            <w:pPr>
              <w:jc w:val="center"/>
              <w:rPr>
                <w:rFonts w:hint="default" w:ascii="Times New Roman" w:hAnsi="Times New Roman" w:cs="Times New Roman"/>
              </w:rPr>
            </w:pPr>
          </w:p>
        </w:tc>
        <w:tc>
          <w:tcPr>
            <w:tcW w:w="685" w:type="pct"/>
            <w:vMerge w:val="continue"/>
            <w:noWrap w:val="0"/>
            <w:vAlign w:val="center"/>
          </w:tcPr>
          <w:p w14:paraId="6C466494">
            <w:pPr>
              <w:jc w:val="center"/>
              <w:rPr>
                <w:rFonts w:hint="default" w:ascii="Times New Roman" w:hAnsi="Times New Roman" w:cs="Times New Roman"/>
              </w:rPr>
            </w:pPr>
          </w:p>
        </w:tc>
        <w:tc>
          <w:tcPr>
            <w:tcW w:w="2764" w:type="pct"/>
            <w:noWrap w:val="0"/>
            <w:vAlign w:val="center"/>
          </w:tcPr>
          <w:p w14:paraId="1EF34006">
            <w:pPr>
              <w:jc w:val="left"/>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塑料包装生产车间的废气收集后经过二级活性炭吸附装 置处理后，通过高度为15m，内径为0.4m的排气筒（P1） 排放。</w:t>
            </w:r>
          </w:p>
        </w:tc>
        <w:tc>
          <w:tcPr>
            <w:tcW w:w="1138" w:type="pct"/>
            <w:noWrap w:val="0"/>
            <w:vAlign w:val="center"/>
          </w:tcPr>
          <w:p w14:paraId="253447F7">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lang w:val="en-US" w:eastAsia="zh-CN"/>
              </w:rPr>
              <w:t>与环评一致</w:t>
            </w:r>
          </w:p>
        </w:tc>
      </w:tr>
      <w:tr w14:paraId="5ADC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1" w:type="pct"/>
            <w:vMerge w:val="continue"/>
            <w:noWrap w:val="0"/>
            <w:vAlign w:val="center"/>
          </w:tcPr>
          <w:p w14:paraId="533DB418">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p>
        </w:tc>
        <w:tc>
          <w:tcPr>
            <w:tcW w:w="685" w:type="pct"/>
            <w:noWrap w:val="0"/>
            <w:vAlign w:val="center"/>
          </w:tcPr>
          <w:p w14:paraId="57A5A777">
            <w:pPr>
              <w:autoSpaceDE w:val="0"/>
              <w:autoSpaceDN w:val="0"/>
              <w:adjustRightInd w:val="0"/>
              <w:snapToGrid w:val="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固废</w:t>
            </w:r>
          </w:p>
        </w:tc>
        <w:tc>
          <w:tcPr>
            <w:tcW w:w="2764" w:type="pct"/>
            <w:noWrap w:val="0"/>
            <w:vAlign w:val="center"/>
          </w:tcPr>
          <w:p w14:paraId="1753F2A8">
            <w:pPr>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设置垃圾桶，生活垃圾、水处理产生污泥由环卫定期清运； 废活性炭、精馏残液、废过滤介质、过滤残渣等危废委托 资质单位处理</w:t>
            </w:r>
            <w:r>
              <w:rPr>
                <w:rFonts w:hint="default" w:ascii="Times New Roman" w:hAnsi="Times New Roman" w:eastAsia="宋体" w:cs="Times New Roman"/>
                <w:sz w:val="21"/>
                <w:szCs w:val="21"/>
                <w:lang w:eastAsia="zh-CN"/>
              </w:rPr>
              <w:t>。</w:t>
            </w:r>
          </w:p>
        </w:tc>
        <w:tc>
          <w:tcPr>
            <w:tcW w:w="1138" w:type="pct"/>
            <w:noWrap w:val="0"/>
            <w:vAlign w:val="center"/>
          </w:tcPr>
          <w:p w14:paraId="6C10CBF2">
            <w:pPr>
              <w:ind w:firstLine="630" w:firstLineChars="300"/>
              <w:jc w:val="both"/>
              <w:rPr>
                <w:rFonts w:hint="default" w:ascii="Times New Roman" w:hAnsi="Times New Roman" w:eastAsia="宋体" w:cs="Times New Roman"/>
                <w:sz w:val="21"/>
                <w:szCs w:val="21"/>
              </w:rPr>
            </w:pPr>
            <w:r>
              <w:rPr>
                <w:rFonts w:hint="default" w:ascii="Times New Roman" w:hAnsi="Times New Roman" w:cs="Times New Roman"/>
                <w:lang w:val="en-US" w:eastAsia="zh-CN"/>
              </w:rPr>
              <w:t>与环评一致</w:t>
            </w:r>
          </w:p>
        </w:tc>
      </w:tr>
      <w:tr w14:paraId="7FB5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11" w:type="pct"/>
            <w:vMerge w:val="continue"/>
            <w:noWrap w:val="0"/>
            <w:vAlign w:val="center"/>
          </w:tcPr>
          <w:p w14:paraId="5301DFB8">
            <w:pPr>
              <w:pStyle w:val="2"/>
              <w:adjustRightInd w:val="0"/>
              <w:snapToGrid w:val="0"/>
              <w:spacing w:after="0"/>
              <w:ind w:left="0" w:leftChars="0" w:firstLine="0" w:firstLineChars="0"/>
              <w:jc w:val="both"/>
              <w:rPr>
                <w:rFonts w:hint="default" w:ascii="Times New Roman" w:hAnsi="Times New Roman" w:cs="Times New Roman"/>
                <w:sz w:val="21"/>
                <w:szCs w:val="21"/>
                <w:lang w:val="en-US" w:eastAsia="zh-CN"/>
              </w:rPr>
            </w:pPr>
          </w:p>
        </w:tc>
        <w:tc>
          <w:tcPr>
            <w:tcW w:w="685" w:type="pct"/>
            <w:noWrap w:val="0"/>
            <w:vAlign w:val="center"/>
          </w:tcPr>
          <w:p w14:paraId="1E9A02C5">
            <w:pPr>
              <w:autoSpaceDE w:val="0"/>
              <w:autoSpaceDN w:val="0"/>
              <w:adjustRightInd w:val="0"/>
              <w:snapToGrid w:val="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噪声</w:t>
            </w:r>
          </w:p>
        </w:tc>
        <w:tc>
          <w:tcPr>
            <w:tcW w:w="2764" w:type="pct"/>
            <w:noWrap w:val="0"/>
            <w:vAlign w:val="center"/>
          </w:tcPr>
          <w:p w14:paraId="5EAB0A84">
            <w:pPr>
              <w:ind w:firstLine="210" w:firstLineChars="1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设置减震、隔声、加强管理、加强绿化等措施。</w:t>
            </w:r>
          </w:p>
        </w:tc>
        <w:tc>
          <w:tcPr>
            <w:tcW w:w="1138" w:type="pct"/>
            <w:noWrap w:val="0"/>
            <w:vAlign w:val="center"/>
          </w:tcPr>
          <w:p w14:paraId="0AD93F47">
            <w:pPr>
              <w:ind w:firstLine="210" w:firstLineChars="100"/>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与环评一致</w:t>
            </w:r>
          </w:p>
        </w:tc>
      </w:tr>
    </w:tbl>
    <w:p w14:paraId="0F244A4A">
      <w:pPr>
        <w:pStyle w:val="50"/>
        <w:spacing w:line="360" w:lineRule="auto"/>
        <w:ind w:firstLine="281" w:firstLineChars="10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3.3主要原辅材料</w:t>
      </w:r>
      <w:bookmarkEnd w:id="21"/>
      <w:r>
        <w:rPr>
          <w:rFonts w:ascii="Times New Roman" w:hAnsi="Times New Roman" w:eastAsia="宋体" w:cs="Times New Roman"/>
          <w:b/>
          <w:sz w:val="28"/>
          <w:szCs w:val="32"/>
        </w:rPr>
        <w:t>、产品及生产设备</w:t>
      </w:r>
      <w:bookmarkEnd w:id="22"/>
    </w:p>
    <w:p w14:paraId="72F3FF81">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该项目产品详见表3-3。</w:t>
      </w:r>
    </w:p>
    <w:p w14:paraId="51EF8398">
      <w:pPr>
        <w:pStyle w:val="3"/>
        <w:spacing w:after="0" w:line="240" w:lineRule="auto"/>
        <w:ind w:left="0"/>
        <w:jc w:val="center"/>
        <w:rPr>
          <w:b/>
          <w:sz w:val="22"/>
          <w:szCs w:val="24"/>
        </w:rPr>
      </w:pPr>
      <w:r>
        <w:rPr>
          <w:b/>
          <w:sz w:val="22"/>
          <w:szCs w:val="24"/>
        </w:rPr>
        <w:t>表3-3  项目</w:t>
      </w:r>
      <w:r>
        <w:rPr>
          <w:rFonts w:hint="eastAsia"/>
          <w:b/>
          <w:sz w:val="22"/>
          <w:szCs w:val="24"/>
          <w:lang w:val="en-US" w:eastAsia="zh-CN"/>
        </w:rPr>
        <w:t>产品产量</w:t>
      </w:r>
      <w:r>
        <w:rPr>
          <w:b/>
          <w:sz w:val="22"/>
          <w:szCs w:val="24"/>
        </w:rPr>
        <w:t>一览表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1825"/>
        <w:gridCol w:w="1854"/>
        <w:gridCol w:w="2792"/>
      </w:tblGrid>
      <w:tr w14:paraId="6A1F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pct"/>
            <w:noWrap w:val="0"/>
            <w:vAlign w:val="center"/>
          </w:tcPr>
          <w:p w14:paraId="1FCF842B">
            <w:pPr>
              <w:pStyle w:val="2"/>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产品名称</w:t>
            </w:r>
          </w:p>
        </w:tc>
        <w:tc>
          <w:tcPr>
            <w:tcW w:w="1033" w:type="pct"/>
            <w:noWrap w:val="0"/>
            <w:vAlign w:val="center"/>
          </w:tcPr>
          <w:p w14:paraId="47DD2835">
            <w:pPr>
              <w:pStyle w:val="2"/>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环评产量</w:t>
            </w:r>
          </w:p>
        </w:tc>
        <w:tc>
          <w:tcPr>
            <w:tcW w:w="1049" w:type="pct"/>
            <w:noWrap w:val="0"/>
            <w:vAlign w:val="center"/>
          </w:tcPr>
          <w:p w14:paraId="2884948D">
            <w:pPr>
              <w:pStyle w:val="2"/>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实际产量</w:t>
            </w:r>
          </w:p>
        </w:tc>
        <w:tc>
          <w:tcPr>
            <w:tcW w:w="1580" w:type="pct"/>
            <w:noWrap w:val="0"/>
            <w:vAlign w:val="center"/>
          </w:tcPr>
          <w:p w14:paraId="5CB7B8A7">
            <w:pPr>
              <w:pStyle w:val="2"/>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备注</w:t>
            </w:r>
          </w:p>
        </w:tc>
      </w:tr>
      <w:tr w14:paraId="71D1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36" w:type="pct"/>
            <w:vMerge w:val="restart"/>
            <w:noWrap w:val="0"/>
            <w:vAlign w:val="center"/>
          </w:tcPr>
          <w:p w14:paraId="5D341F41">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食品添加剂冰醋酸</w:t>
            </w:r>
          </w:p>
        </w:tc>
        <w:tc>
          <w:tcPr>
            <w:tcW w:w="1033" w:type="pct"/>
            <w:vMerge w:val="restart"/>
            <w:noWrap w:val="0"/>
            <w:vAlign w:val="center"/>
          </w:tcPr>
          <w:p w14:paraId="1AAAFDC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10000t/a</w:t>
            </w:r>
          </w:p>
        </w:tc>
        <w:tc>
          <w:tcPr>
            <w:tcW w:w="1049" w:type="pct"/>
            <w:vMerge w:val="restart"/>
            <w:noWrap w:val="0"/>
            <w:vAlign w:val="center"/>
          </w:tcPr>
          <w:p w14:paraId="108D2E1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10000t/a</w:t>
            </w:r>
          </w:p>
        </w:tc>
        <w:tc>
          <w:tcPr>
            <w:tcW w:w="1580" w:type="pct"/>
            <w:vMerge w:val="restart"/>
            <w:noWrap w:val="0"/>
            <w:vAlign w:val="center"/>
          </w:tcPr>
          <w:p w14:paraId="567485D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与环评一致</w:t>
            </w:r>
          </w:p>
        </w:tc>
      </w:tr>
      <w:tr w14:paraId="170A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36" w:type="pct"/>
            <w:vMerge w:val="continue"/>
            <w:noWrap w:val="0"/>
            <w:vAlign w:val="center"/>
          </w:tcPr>
          <w:p w14:paraId="37E4F18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c>
          <w:tcPr>
            <w:tcW w:w="1033" w:type="pct"/>
            <w:vMerge w:val="continue"/>
            <w:noWrap w:val="0"/>
            <w:vAlign w:val="center"/>
          </w:tcPr>
          <w:p w14:paraId="31C44721">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c>
          <w:tcPr>
            <w:tcW w:w="1049" w:type="pct"/>
            <w:vMerge w:val="continue"/>
            <w:noWrap w:val="0"/>
            <w:vAlign w:val="center"/>
          </w:tcPr>
          <w:p w14:paraId="03DDE3B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c>
          <w:tcPr>
            <w:tcW w:w="1580" w:type="pct"/>
            <w:vMerge w:val="continue"/>
            <w:noWrap w:val="0"/>
            <w:vAlign w:val="center"/>
          </w:tcPr>
          <w:p w14:paraId="34A0E93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r>
      <w:tr w14:paraId="7F92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36" w:type="pct"/>
            <w:noWrap w:val="0"/>
            <w:vAlign w:val="center"/>
          </w:tcPr>
          <w:p w14:paraId="30618A6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塑料包装桶</w:t>
            </w:r>
          </w:p>
        </w:tc>
        <w:tc>
          <w:tcPr>
            <w:tcW w:w="1033" w:type="pct"/>
            <w:noWrap w:val="0"/>
            <w:vAlign w:val="center"/>
          </w:tcPr>
          <w:p w14:paraId="4D853FF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60t/a</w:t>
            </w:r>
          </w:p>
        </w:tc>
        <w:tc>
          <w:tcPr>
            <w:tcW w:w="1049" w:type="pct"/>
            <w:shd w:val="clear" w:color="auto" w:fill="auto"/>
            <w:noWrap w:val="0"/>
            <w:vAlign w:val="center"/>
          </w:tcPr>
          <w:p w14:paraId="7530DB58">
            <w:pPr>
              <w:pStyle w:val="2"/>
              <w:adjustRightInd w:val="0"/>
              <w:snapToGrid w:val="0"/>
              <w:spacing w:after="0"/>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60t/a</w:t>
            </w:r>
          </w:p>
        </w:tc>
        <w:tc>
          <w:tcPr>
            <w:tcW w:w="1580" w:type="pct"/>
            <w:shd w:val="clear" w:color="auto" w:fill="auto"/>
            <w:noWrap w:val="0"/>
            <w:vAlign w:val="center"/>
          </w:tcPr>
          <w:p w14:paraId="78AEE366">
            <w:pPr>
              <w:pStyle w:val="2"/>
              <w:adjustRightInd w:val="0"/>
              <w:snapToGrid w:val="0"/>
              <w:spacing w:after="0"/>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与环评一致</w:t>
            </w:r>
          </w:p>
        </w:tc>
      </w:tr>
    </w:tbl>
    <w:p w14:paraId="21F63411">
      <w:pPr>
        <w:spacing w:line="360" w:lineRule="auto"/>
        <w:ind w:firstLine="480" w:firstLineChars="200"/>
        <w:rPr>
          <w:rFonts w:hint="eastAsia"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该项目原辅材料及产品详见表3-4</w:t>
      </w:r>
    </w:p>
    <w:p w14:paraId="2C78D684">
      <w:pPr>
        <w:pStyle w:val="2"/>
        <w:jc w:val="center"/>
        <w:rPr>
          <w:rFonts w:hint="default"/>
          <w:b/>
          <w:bCs/>
          <w:lang w:val="en-US" w:eastAsia="zh-CN"/>
        </w:rPr>
      </w:pPr>
      <w:r>
        <w:rPr>
          <w:rFonts w:hint="eastAsia" w:ascii="Times New Roman" w:hAnsi="Times New Roman" w:eastAsia="宋体" w:cs="Times New Roman"/>
          <w:b/>
          <w:bCs/>
          <w:color w:val="000000"/>
          <w:sz w:val="24"/>
          <w:szCs w:val="28"/>
          <w:lang w:val="en-US" w:eastAsia="zh-CN"/>
        </w:rPr>
        <w:t>表3-4项目主要原辅材料及能源消耗一览表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211"/>
        <w:gridCol w:w="1467"/>
        <w:gridCol w:w="1711"/>
        <w:gridCol w:w="2866"/>
      </w:tblGrid>
      <w:tr w14:paraId="5C24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37291358">
            <w:pPr>
              <w:jc w:val="center"/>
              <w:rPr>
                <w:rFonts w:hint="default" w:ascii="Times New Roman" w:hAnsi="Times New Roman" w:eastAsia="宋体" w:cs="Times New Roman"/>
                <w:b/>
                <w:bCs/>
                <w:szCs w:val="21"/>
              </w:rPr>
            </w:pPr>
            <w:r>
              <w:rPr>
                <w:rFonts w:hint="default" w:ascii="Times New Roman" w:hAnsi="Times New Roman" w:eastAsia="宋体" w:cs="Times New Roman"/>
                <w:b/>
                <w:szCs w:val="21"/>
              </w:rPr>
              <w:t>序号</w:t>
            </w:r>
          </w:p>
        </w:tc>
        <w:tc>
          <w:tcPr>
            <w:tcW w:w="1251" w:type="pct"/>
            <w:vAlign w:val="center"/>
          </w:tcPr>
          <w:p w14:paraId="2CFA57BB">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830" w:type="pct"/>
            <w:vAlign w:val="center"/>
          </w:tcPr>
          <w:p w14:paraId="44399E16">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环评量</w:t>
            </w:r>
          </w:p>
        </w:tc>
        <w:tc>
          <w:tcPr>
            <w:tcW w:w="968" w:type="pct"/>
            <w:vAlign w:val="center"/>
          </w:tcPr>
          <w:p w14:paraId="2EE0BB1D">
            <w:pPr>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实际量</w:t>
            </w:r>
          </w:p>
        </w:tc>
        <w:tc>
          <w:tcPr>
            <w:tcW w:w="1622" w:type="pct"/>
            <w:vAlign w:val="center"/>
          </w:tcPr>
          <w:p w14:paraId="1AB45C45">
            <w:pPr>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备注</w:t>
            </w:r>
            <w:r>
              <w:rPr>
                <w:rFonts w:hint="default" w:ascii="Times New Roman" w:hAnsi="Times New Roman" w:eastAsia="宋体" w:cs="Times New Roman"/>
                <w:b/>
                <w:bCs/>
                <w:szCs w:val="21"/>
                <w:lang w:val="en-US" w:eastAsia="zh-CN"/>
              </w:rPr>
              <w:t xml:space="preserve"> </w:t>
            </w:r>
          </w:p>
        </w:tc>
      </w:tr>
      <w:tr w14:paraId="6910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07BFF66C">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251" w:type="pct"/>
            <w:vAlign w:val="center"/>
          </w:tcPr>
          <w:p w14:paraId="3F838DC9">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w:t>
            </w:r>
          </w:p>
        </w:tc>
        <w:tc>
          <w:tcPr>
            <w:tcW w:w="830" w:type="pct"/>
            <w:vAlign w:val="center"/>
          </w:tcPr>
          <w:p w14:paraId="13AC30E0">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1725m³/a</w:t>
            </w:r>
          </w:p>
        </w:tc>
        <w:tc>
          <w:tcPr>
            <w:tcW w:w="968" w:type="pct"/>
            <w:vAlign w:val="center"/>
          </w:tcPr>
          <w:p w14:paraId="69F500CD">
            <w:pPr>
              <w:pStyle w:val="2"/>
              <w:adjustRightInd w:val="0"/>
              <w:snapToGrid w:val="0"/>
              <w:spacing w:after="0"/>
              <w:ind w:left="0" w:leftChars="0" w:firstLine="0" w:firstLineChars="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b w:val="0"/>
                <w:bCs w:val="0"/>
                <w:sz w:val="21"/>
                <w:szCs w:val="21"/>
                <w:lang w:val="en-US" w:eastAsia="zh-CN"/>
              </w:rPr>
              <w:t>1725m³/a</w:t>
            </w:r>
          </w:p>
        </w:tc>
        <w:tc>
          <w:tcPr>
            <w:tcW w:w="1622" w:type="pct"/>
            <w:vAlign w:val="center"/>
          </w:tcPr>
          <w:p w14:paraId="3855EF02">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38A4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54D14920">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251" w:type="pct"/>
            <w:vAlign w:val="center"/>
          </w:tcPr>
          <w:p w14:paraId="34C09F54">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w:t>
            </w:r>
          </w:p>
        </w:tc>
        <w:tc>
          <w:tcPr>
            <w:tcW w:w="830" w:type="pct"/>
            <w:vAlign w:val="center"/>
          </w:tcPr>
          <w:p w14:paraId="0CAEF0B5">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100万kw.h/a</w:t>
            </w:r>
          </w:p>
        </w:tc>
        <w:tc>
          <w:tcPr>
            <w:tcW w:w="968" w:type="pct"/>
            <w:vAlign w:val="center"/>
          </w:tcPr>
          <w:p w14:paraId="70FABDCD">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100万kw.h/a</w:t>
            </w:r>
          </w:p>
        </w:tc>
        <w:tc>
          <w:tcPr>
            <w:tcW w:w="1622" w:type="pct"/>
            <w:vAlign w:val="center"/>
          </w:tcPr>
          <w:p w14:paraId="71A5C222">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AE5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5A8CAF5F">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1251" w:type="pct"/>
            <w:vAlign w:val="center"/>
          </w:tcPr>
          <w:p w14:paraId="35AC914F">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醋酸</w:t>
            </w:r>
          </w:p>
        </w:tc>
        <w:tc>
          <w:tcPr>
            <w:tcW w:w="830" w:type="pct"/>
            <w:vAlign w:val="center"/>
          </w:tcPr>
          <w:p w14:paraId="581CB512">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10040t/a</w:t>
            </w:r>
          </w:p>
        </w:tc>
        <w:tc>
          <w:tcPr>
            <w:tcW w:w="968" w:type="pct"/>
            <w:vAlign w:val="center"/>
          </w:tcPr>
          <w:p w14:paraId="170EC396">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10040t/a</w:t>
            </w:r>
          </w:p>
        </w:tc>
        <w:tc>
          <w:tcPr>
            <w:tcW w:w="1622" w:type="pct"/>
            <w:vAlign w:val="center"/>
          </w:tcPr>
          <w:p w14:paraId="432AC407">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33A6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1A2B4445">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251" w:type="pct"/>
            <w:vAlign w:val="center"/>
          </w:tcPr>
          <w:p w14:paraId="0898FDF5">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塑料颗粒</w:t>
            </w:r>
          </w:p>
        </w:tc>
        <w:tc>
          <w:tcPr>
            <w:tcW w:w="830" w:type="pct"/>
            <w:vAlign w:val="center"/>
          </w:tcPr>
          <w:p w14:paraId="3C4BD1AF">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60.162t/a</w:t>
            </w:r>
          </w:p>
        </w:tc>
        <w:tc>
          <w:tcPr>
            <w:tcW w:w="968" w:type="pct"/>
            <w:vAlign w:val="center"/>
          </w:tcPr>
          <w:p w14:paraId="36AE8BB9">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60.162t/a</w:t>
            </w:r>
          </w:p>
        </w:tc>
        <w:tc>
          <w:tcPr>
            <w:tcW w:w="1622" w:type="pct"/>
            <w:vAlign w:val="center"/>
          </w:tcPr>
          <w:p w14:paraId="0530B3BB">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447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7D60CD0A">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251" w:type="pct"/>
            <w:vAlign w:val="center"/>
          </w:tcPr>
          <w:p w14:paraId="136F2047">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蒸汽</w:t>
            </w:r>
          </w:p>
        </w:tc>
        <w:tc>
          <w:tcPr>
            <w:tcW w:w="830" w:type="pct"/>
            <w:vAlign w:val="center"/>
          </w:tcPr>
          <w:p w14:paraId="4585FCAA">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5500t/a</w:t>
            </w:r>
          </w:p>
        </w:tc>
        <w:tc>
          <w:tcPr>
            <w:tcW w:w="968" w:type="pct"/>
            <w:vAlign w:val="center"/>
          </w:tcPr>
          <w:p w14:paraId="5AB0FE72">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5500t/a</w:t>
            </w:r>
          </w:p>
        </w:tc>
        <w:tc>
          <w:tcPr>
            <w:tcW w:w="1622" w:type="pct"/>
            <w:vAlign w:val="center"/>
          </w:tcPr>
          <w:p w14:paraId="2BA89C94">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7586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1EE281D1">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1251" w:type="pct"/>
            <w:vAlign w:val="center"/>
          </w:tcPr>
          <w:p w14:paraId="03615806">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片碱</w:t>
            </w:r>
          </w:p>
        </w:tc>
        <w:tc>
          <w:tcPr>
            <w:tcW w:w="830" w:type="pct"/>
            <w:vAlign w:val="center"/>
          </w:tcPr>
          <w:p w14:paraId="47101D29">
            <w:pPr>
              <w:pStyle w:val="2"/>
              <w:adjustRightInd w:val="0"/>
              <w:snapToGrid w:val="0"/>
              <w:spacing w:after="0"/>
              <w:ind w:left="0" w:leftChars="0" w:firstLine="0" w:firstLineChars="0"/>
              <w:jc w:val="center"/>
              <w:rPr>
                <w:rFonts w:hint="default" w:ascii="Times New Roman" w:hAnsi="Times New Roman" w:eastAsia="宋体" w:cs="Times New Roman"/>
                <w:color w:val="000000"/>
                <w:szCs w:val="21"/>
                <w:lang w:val="en-US"/>
              </w:rPr>
            </w:pPr>
            <w:r>
              <w:rPr>
                <w:rFonts w:hint="default" w:ascii="Times New Roman" w:hAnsi="Times New Roman" w:eastAsia="宋体" w:cs="Times New Roman"/>
                <w:b w:val="0"/>
                <w:bCs w:val="0"/>
                <w:sz w:val="21"/>
                <w:szCs w:val="21"/>
                <w:lang w:val="en-US" w:eastAsia="zh-CN"/>
              </w:rPr>
              <w:t>8.9t/a</w:t>
            </w:r>
          </w:p>
        </w:tc>
        <w:tc>
          <w:tcPr>
            <w:tcW w:w="968" w:type="pct"/>
            <w:vAlign w:val="center"/>
          </w:tcPr>
          <w:p w14:paraId="56085F3D">
            <w:pPr>
              <w:pStyle w:val="2"/>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 w:val="21"/>
                <w:szCs w:val="21"/>
                <w:lang w:val="en-US" w:eastAsia="zh-CN"/>
              </w:rPr>
              <w:t>8.9t/a</w:t>
            </w:r>
          </w:p>
        </w:tc>
        <w:tc>
          <w:tcPr>
            <w:tcW w:w="1622" w:type="pct"/>
            <w:vAlign w:val="center"/>
          </w:tcPr>
          <w:p w14:paraId="0308B6F2">
            <w:pPr>
              <w:adjustRightInd w:val="0"/>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bl>
    <w:p w14:paraId="24FE7807">
      <w:pPr>
        <w:spacing w:line="360" w:lineRule="auto"/>
        <w:ind w:firstLine="480" w:firstLineChars="200"/>
        <w:rPr>
          <w:rFonts w:hint="eastAsia"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该项目主要生产设备及环保设施详见表3-5</w:t>
      </w:r>
    </w:p>
    <w:p w14:paraId="0A32A2F7">
      <w:pPr>
        <w:pStyle w:val="2"/>
        <w:jc w:val="center"/>
        <w:rPr>
          <w:rFonts w:hint="default"/>
          <w:b/>
          <w:bCs/>
          <w:lang w:val="en-US" w:eastAsia="zh-CN"/>
        </w:rPr>
      </w:pPr>
      <w:r>
        <w:rPr>
          <w:rFonts w:hint="eastAsia" w:ascii="Times New Roman" w:hAnsi="Times New Roman" w:eastAsia="宋体" w:cs="Times New Roman"/>
          <w:b/>
          <w:bCs/>
          <w:color w:val="000000"/>
          <w:sz w:val="24"/>
          <w:szCs w:val="28"/>
          <w:lang w:val="en-US" w:eastAsia="zh-CN"/>
        </w:rPr>
        <w:t>表3-5项目主要生产设备及环保设施一览表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93"/>
        <w:gridCol w:w="1530"/>
        <w:gridCol w:w="1055"/>
        <w:gridCol w:w="1525"/>
        <w:gridCol w:w="1107"/>
        <w:gridCol w:w="1610"/>
      </w:tblGrid>
      <w:tr w14:paraId="49A1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3E0212F5">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序号</w:t>
            </w:r>
          </w:p>
        </w:tc>
        <w:tc>
          <w:tcPr>
            <w:tcW w:w="731" w:type="pct"/>
            <w:noWrap w:val="0"/>
            <w:vAlign w:val="center"/>
          </w:tcPr>
          <w:p w14:paraId="6CCBF605">
            <w:pPr>
              <w:widowControl/>
              <w:overflowPunct w:val="0"/>
              <w:topLinePunct/>
              <w:snapToGrid w:val="0"/>
              <w:jc w:val="center"/>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Cs w:val="21"/>
              </w:rPr>
              <w:t>名称</w:t>
            </w:r>
          </w:p>
        </w:tc>
        <w:tc>
          <w:tcPr>
            <w:tcW w:w="866" w:type="pct"/>
            <w:noWrap w:val="0"/>
            <w:vAlign w:val="center"/>
          </w:tcPr>
          <w:p w14:paraId="47F70167">
            <w:pPr>
              <w:widowControl/>
              <w:overflowPunct w:val="0"/>
              <w:topLinePunct/>
              <w:snapToGrid w:val="0"/>
              <w:jc w:val="center"/>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Cs w:val="21"/>
              </w:rPr>
              <w:t>规格/型号</w:t>
            </w:r>
          </w:p>
        </w:tc>
        <w:tc>
          <w:tcPr>
            <w:tcW w:w="597" w:type="pct"/>
            <w:noWrap w:val="0"/>
            <w:vAlign w:val="center"/>
          </w:tcPr>
          <w:p w14:paraId="0EBCC4B6">
            <w:pPr>
              <w:widowControl/>
              <w:overflowPunct w:val="0"/>
              <w:topLinePunct/>
              <w:snapToGrid w:val="0"/>
              <w:jc w:val="center"/>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Cs w:val="21"/>
              </w:rPr>
              <w:t>数量</w:t>
            </w:r>
          </w:p>
        </w:tc>
        <w:tc>
          <w:tcPr>
            <w:tcW w:w="863" w:type="pct"/>
            <w:noWrap w:val="0"/>
            <w:vAlign w:val="center"/>
          </w:tcPr>
          <w:p w14:paraId="77259C4E">
            <w:pPr>
              <w:widowControl/>
              <w:overflowPunct w:val="0"/>
              <w:topLinePunct/>
              <w:snapToGrid w:val="0"/>
              <w:jc w:val="center"/>
              <w:rPr>
                <w:rFonts w:hint="default" w:ascii="Times New Roman" w:hAnsi="Times New Roman" w:cs="Times New Roman"/>
                <w:b/>
                <w:bCs/>
                <w:szCs w:val="21"/>
              </w:rPr>
            </w:pPr>
            <w:r>
              <w:rPr>
                <w:rFonts w:hint="default" w:ascii="Times New Roman" w:hAnsi="Times New Roman" w:cs="Times New Roman"/>
                <w:b/>
                <w:bCs/>
                <w:szCs w:val="21"/>
              </w:rPr>
              <w:t>规格/型号</w:t>
            </w:r>
          </w:p>
        </w:tc>
        <w:tc>
          <w:tcPr>
            <w:tcW w:w="626" w:type="pct"/>
            <w:noWrap w:val="0"/>
            <w:vAlign w:val="center"/>
          </w:tcPr>
          <w:p w14:paraId="0E605AC5">
            <w:pPr>
              <w:widowControl/>
              <w:overflowPunct w:val="0"/>
              <w:topLinePunct/>
              <w:snapToGrid w:val="0"/>
              <w:jc w:val="center"/>
              <w:rPr>
                <w:rFonts w:hint="default" w:ascii="Times New Roman" w:hAnsi="Times New Roman" w:cs="Times New Roman"/>
                <w:b/>
                <w:bCs/>
                <w:szCs w:val="21"/>
              </w:rPr>
            </w:pPr>
            <w:r>
              <w:rPr>
                <w:rFonts w:hint="default" w:ascii="Times New Roman" w:hAnsi="Times New Roman" w:cs="Times New Roman"/>
                <w:b/>
                <w:bCs/>
                <w:szCs w:val="21"/>
              </w:rPr>
              <w:t>数量</w:t>
            </w:r>
          </w:p>
        </w:tc>
        <w:tc>
          <w:tcPr>
            <w:tcW w:w="911" w:type="pct"/>
            <w:noWrap w:val="0"/>
            <w:vAlign w:val="center"/>
          </w:tcPr>
          <w:p w14:paraId="71C0F04B">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备注</w:t>
            </w:r>
          </w:p>
        </w:tc>
      </w:tr>
      <w:tr w14:paraId="2EB8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8" w:type="pct"/>
            <w:gridSpan w:val="4"/>
            <w:noWrap w:val="0"/>
            <w:vAlign w:val="center"/>
          </w:tcPr>
          <w:p w14:paraId="7B27E542">
            <w:pPr>
              <w:widowControl/>
              <w:overflowPunct w:val="0"/>
              <w:topLinePunct/>
              <w:snapToGrid w:val="0"/>
              <w:jc w:val="center"/>
              <w:rPr>
                <w:rFonts w:hint="default" w:ascii="Times New Roman" w:hAnsi="Times New Roman" w:cs="Times New Roman" w:eastAsiaTheme="minorEastAsia"/>
                <w:b/>
                <w:bCs/>
                <w:spacing w:val="-4"/>
                <w:szCs w:val="21"/>
                <w:lang w:val="en-US" w:eastAsia="zh-CN"/>
              </w:rPr>
            </w:pPr>
            <w:r>
              <w:rPr>
                <w:rFonts w:hint="default" w:ascii="Times New Roman" w:hAnsi="Times New Roman" w:cs="Times New Roman"/>
                <w:b/>
                <w:bCs/>
                <w:spacing w:val="-4"/>
                <w:szCs w:val="21"/>
                <w:lang w:val="en-US" w:eastAsia="zh-CN"/>
              </w:rPr>
              <w:t>环评内容</w:t>
            </w:r>
          </w:p>
        </w:tc>
        <w:tc>
          <w:tcPr>
            <w:tcW w:w="2401" w:type="pct"/>
            <w:gridSpan w:val="3"/>
            <w:noWrap w:val="0"/>
            <w:vAlign w:val="center"/>
          </w:tcPr>
          <w:p w14:paraId="52AAFF05">
            <w:pPr>
              <w:widowControl/>
              <w:overflowPunct w:val="0"/>
              <w:topLinePunct/>
              <w:snapToGrid w:val="0"/>
              <w:jc w:val="center"/>
              <w:rPr>
                <w:rFonts w:hint="default" w:ascii="Times New Roman" w:hAnsi="Times New Roman" w:eastAsia="宋体" w:cs="Times New Roman"/>
                <w:b/>
                <w:bCs/>
                <w:spacing w:val="-4"/>
                <w:szCs w:val="21"/>
                <w:lang w:val="en-US" w:eastAsia="zh-CN"/>
              </w:rPr>
            </w:pPr>
            <w:r>
              <w:rPr>
                <w:rFonts w:hint="default" w:ascii="Times New Roman" w:hAnsi="Times New Roman" w:eastAsia="宋体" w:cs="Times New Roman"/>
                <w:b/>
                <w:bCs/>
                <w:spacing w:val="-4"/>
                <w:szCs w:val="21"/>
                <w:lang w:val="en-US" w:eastAsia="zh-CN"/>
              </w:rPr>
              <w:t>实际建内容</w:t>
            </w:r>
          </w:p>
        </w:tc>
      </w:tr>
      <w:tr w14:paraId="2D7A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0BC1A5F6">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w:t>
            </w:r>
          </w:p>
        </w:tc>
        <w:tc>
          <w:tcPr>
            <w:tcW w:w="731" w:type="pct"/>
            <w:noWrap w:val="0"/>
            <w:vAlign w:val="center"/>
          </w:tcPr>
          <w:p w14:paraId="36D8E70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精馏塔</w:t>
            </w:r>
          </w:p>
        </w:tc>
        <w:tc>
          <w:tcPr>
            <w:tcW w:w="866" w:type="pct"/>
            <w:noWrap w:val="0"/>
            <w:vAlign w:val="center"/>
          </w:tcPr>
          <w:p w14:paraId="1E9F5CC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Φ600*23500</w:t>
            </w:r>
          </w:p>
        </w:tc>
        <w:tc>
          <w:tcPr>
            <w:tcW w:w="597" w:type="pct"/>
            <w:noWrap w:val="0"/>
            <w:vAlign w:val="center"/>
          </w:tcPr>
          <w:p w14:paraId="19B0B45F">
            <w:pPr>
              <w:pStyle w:val="2"/>
              <w:adjustRightInd w:val="0"/>
              <w:snapToGrid w:val="0"/>
              <w:spacing w:after="0"/>
              <w:ind w:left="0" w:leftChars="0" w:firstLine="0" w:firstLineChars="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6E5CD097">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Φ600*23500</w:t>
            </w:r>
          </w:p>
        </w:tc>
        <w:tc>
          <w:tcPr>
            <w:tcW w:w="626" w:type="pct"/>
            <w:noWrap w:val="0"/>
            <w:vAlign w:val="center"/>
          </w:tcPr>
          <w:p w14:paraId="45CCB48E">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4742AAB1">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549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75C0B000">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w:t>
            </w:r>
          </w:p>
        </w:tc>
        <w:tc>
          <w:tcPr>
            <w:tcW w:w="731" w:type="pct"/>
            <w:noWrap w:val="0"/>
            <w:vAlign w:val="center"/>
          </w:tcPr>
          <w:p w14:paraId="2B6E8E15">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一级冷凝器</w:t>
            </w:r>
          </w:p>
        </w:tc>
        <w:tc>
          <w:tcPr>
            <w:tcW w:w="866" w:type="pct"/>
            <w:noWrap w:val="0"/>
            <w:vAlign w:val="center"/>
          </w:tcPr>
          <w:p w14:paraId="19DB45CF">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，Φ500*2500</w:t>
            </w:r>
          </w:p>
        </w:tc>
        <w:tc>
          <w:tcPr>
            <w:tcW w:w="597" w:type="pct"/>
            <w:noWrap w:val="0"/>
            <w:vAlign w:val="center"/>
          </w:tcPr>
          <w:p w14:paraId="09A474E5">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32F3DE00">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，Φ500*2500</w:t>
            </w:r>
          </w:p>
        </w:tc>
        <w:tc>
          <w:tcPr>
            <w:tcW w:w="626" w:type="pct"/>
            <w:noWrap w:val="0"/>
            <w:vAlign w:val="center"/>
          </w:tcPr>
          <w:p w14:paraId="420FE7C6">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5E37197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3E5C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0A77899C">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w:t>
            </w:r>
          </w:p>
        </w:tc>
        <w:tc>
          <w:tcPr>
            <w:tcW w:w="731" w:type="pct"/>
            <w:noWrap w:val="0"/>
            <w:vAlign w:val="center"/>
          </w:tcPr>
          <w:p w14:paraId="09A5A15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二级冷凝器</w:t>
            </w:r>
          </w:p>
        </w:tc>
        <w:tc>
          <w:tcPr>
            <w:tcW w:w="866" w:type="pct"/>
            <w:noWrap w:val="0"/>
            <w:vAlign w:val="center"/>
          </w:tcPr>
          <w:p w14:paraId="054E47F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，Φ273*2500</w:t>
            </w:r>
          </w:p>
        </w:tc>
        <w:tc>
          <w:tcPr>
            <w:tcW w:w="597" w:type="pct"/>
            <w:noWrap w:val="0"/>
            <w:vAlign w:val="center"/>
          </w:tcPr>
          <w:p w14:paraId="173A9FCD">
            <w:pPr>
              <w:pStyle w:val="2"/>
              <w:adjustRightInd w:val="0"/>
              <w:snapToGrid w:val="0"/>
              <w:spacing w:after="0"/>
              <w:ind w:left="0" w:leftChars="0" w:firstLine="0" w:firstLineChars="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30DC199B">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，Φ273*2500</w:t>
            </w:r>
          </w:p>
        </w:tc>
        <w:tc>
          <w:tcPr>
            <w:tcW w:w="626" w:type="pct"/>
            <w:noWrap w:val="0"/>
            <w:vAlign w:val="center"/>
          </w:tcPr>
          <w:p w14:paraId="2C561D01">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5EE15E14">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D4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0944EAB8">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4</w:t>
            </w:r>
          </w:p>
        </w:tc>
        <w:tc>
          <w:tcPr>
            <w:tcW w:w="731" w:type="pct"/>
            <w:noWrap w:val="0"/>
            <w:vAlign w:val="center"/>
          </w:tcPr>
          <w:p w14:paraId="3FEA8AD1">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再沸器</w:t>
            </w:r>
          </w:p>
        </w:tc>
        <w:tc>
          <w:tcPr>
            <w:tcW w:w="866" w:type="pct"/>
            <w:noWrap w:val="0"/>
            <w:vAlign w:val="center"/>
          </w:tcPr>
          <w:p w14:paraId="33CF5A24">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，Φ550*2000</w:t>
            </w:r>
          </w:p>
        </w:tc>
        <w:tc>
          <w:tcPr>
            <w:tcW w:w="597" w:type="pct"/>
            <w:noWrap w:val="0"/>
            <w:vAlign w:val="center"/>
          </w:tcPr>
          <w:p w14:paraId="05994DC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0D133B2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S=30m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，Φ550*2000</w:t>
            </w:r>
          </w:p>
        </w:tc>
        <w:tc>
          <w:tcPr>
            <w:tcW w:w="626" w:type="pct"/>
            <w:noWrap w:val="0"/>
            <w:vAlign w:val="center"/>
          </w:tcPr>
          <w:p w14:paraId="5007DB2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01E6636E">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6272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65B7AEDE">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5</w:t>
            </w:r>
          </w:p>
        </w:tc>
        <w:tc>
          <w:tcPr>
            <w:tcW w:w="731" w:type="pct"/>
            <w:noWrap w:val="0"/>
            <w:vAlign w:val="center"/>
          </w:tcPr>
          <w:p w14:paraId="1B9B0439">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预热器</w:t>
            </w:r>
          </w:p>
        </w:tc>
        <w:tc>
          <w:tcPr>
            <w:tcW w:w="866" w:type="pct"/>
            <w:noWrap w:val="0"/>
            <w:vAlign w:val="center"/>
          </w:tcPr>
          <w:p w14:paraId="137FA32B">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S=8m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，Φ300*2500</w:t>
            </w:r>
          </w:p>
        </w:tc>
        <w:tc>
          <w:tcPr>
            <w:tcW w:w="597" w:type="pct"/>
            <w:noWrap w:val="0"/>
            <w:vAlign w:val="center"/>
          </w:tcPr>
          <w:p w14:paraId="711696B2">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39B3C546">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S=8m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，Φ300*2500</w:t>
            </w:r>
          </w:p>
        </w:tc>
        <w:tc>
          <w:tcPr>
            <w:tcW w:w="626" w:type="pct"/>
            <w:noWrap w:val="0"/>
            <w:vAlign w:val="center"/>
          </w:tcPr>
          <w:p w14:paraId="524E7F38">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6F8FFE56">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65A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noWrap w:val="0"/>
            <w:vAlign w:val="center"/>
          </w:tcPr>
          <w:p w14:paraId="52889C5E">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6</w:t>
            </w:r>
          </w:p>
        </w:tc>
        <w:tc>
          <w:tcPr>
            <w:tcW w:w="731" w:type="pct"/>
            <w:noWrap w:val="0"/>
            <w:vAlign w:val="center"/>
          </w:tcPr>
          <w:p w14:paraId="3E74711E">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塔顶冷却器</w:t>
            </w:r>
          </w:p>
        </w:tc>
        <w:tc>
          <w:tcPr>
            <w:tcW w:w="866" w:type="pct"/>
            <w:noWrap w:val="0"/>
            <w:vAlign w:val="center"/>
          </w:tcPr>
          <w:p w14:paraId="1FAF0BC7">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，Φ273*2000</w:t>
            </w:r>
          </w:p>
        </w:tc>
        <w:tc>
          <w:tcPr>
            <w:tcW w:w="597" w:type="pct"/>
            <w:noWrap w:val="0"/>
            <w:vAlign w:val="center"/>
          </w:tcPr>
          <w:p w14:paraId="2BE10073">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1760C240">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，Φ273*2000</w:t>
            </w:r>
          </w:p>
        </w:tc>
        <w:tc>
          <w:tcPr>
            <w:tcW w:w="626" w:type="pct"/>
            <w:noWrap w:val="0"/>
            <w:vAlign w:val="center"/>
          </w:tcPr>
          <w:p w14:paraId="7C653161">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30E1D998">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E68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2927D668">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7</w:t>
            </w:r>
          </w:p>
        </w:tc>
        <w:tc>
          <w:tcPr>
            <w:tcW w:w="731" w:type="pct"/>
            <w:noWrap w:val="0"/>
            <w:vAlign w:val="center"/>
          </w:tcPr>
          <w:p w14:paraId="6DB96034">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侧采冷却器</w:t>
            </w:r>
          </w:p>
        </w:tc>
        <w:tc>
          <w:tcPr>
            <w:tcW w:w="866" w:type="pct"/>
            <w:noWrap w:val="0"/>
            <w:vAlign w:val="center"/>
          </w:tcPr>
          <w:p w14:paraId="285BEF05">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S=10m</w:t>
            </w:r>
            <w:r>
              <w:rPr>
                <w:rFonts w:hint="default" w:ascii="Times New Roman" w:hAnsi="Times New Roman" w:eastAsia="宋体" w:cs="Times New Roman"/>
                <w:sz w:val="21"/>
                <w:szCs w:val="21"/>
                <w:vertAlign w:val="superscript"/>
              </w:rPr>
              <w:t>2</w:t>
            </w:r>
          </w:p>
        </w:tc>
        <w:tc>
          <w:tcPr>
            <w:tcW w:w="597" w:type="pct"/>
            <w:noWrap w:val="0"/>
            <w:vAlign w:val="center"/>
          </w:tcPr>
          <w:p w14:paraId="05878E41">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06EB152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S=10m</w:t>
            </w:r>
            <w:r>
              <w:rPr>
                <w:rFonts w:hint="default" w:ascii="Times New Roman" w:hAnsi="Times New Roman" w:eastAsia="宋体" w:cs="Times New Roman"/>
                <w:sz w:val="21"/>
                <w:szCs w:val="21"/>
                <w:vertAlign w:val="superscript"/>
              </w:rPr>
              <w:t>2</w:t>
            </w:r>
          </w:p>
        </w:tc>
        <w:tc>
          <w:tcPr>
            <w:tcW w:w="626" w:type="pct"/>
            <w:noWrap w:val="0"/>
            <w:vAlign w:val="center"/>
          </w:tcPr>
          <w:p w14:paraId="7BEAB320">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2C9C14E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9BE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125BF169">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8</w:t>
            </w:r>
          </w:p>
        </w:tc>
        <w:tc>
          <w:tcPr>
            <w:tcW w:w="731" w:type="pct"/>
            <w:noWrap w:val="0"/>
            <w:vAlign w:val="center"/>
          </w:tcPr>
          <w:p w14:paraId="232CB253">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塔底冷却器</w:t>
            </w:r>
          </w:p>
        </w:tc>
        <w:tc>
          <w:tcPr>
            <w:tcW w:w="866" w:type="pct"/>
            <w:noWrap w:val="0"/>
            <w:vAlign w:val="center"/>
          </w:tcPr>
          <w:p w14:paraId="4911885D">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p>
        </w:tc>
        <w:tc>
          <w:tcPr>
            <w:tcW w:w="597" w:type="pct"/>
            <w:noWrap w:val="0"/>
            <w:vAlign w:val="center"/>
          </w:tcPr>
          <w:p w14:paraId="379F7F3A">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7053A74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S=6m</w:t>
            </w:r>
            <w:r>
              <w:rPr>
                <w:rFonts w:hint="default" w:ascii="Times New Roman" w:hAnsi="Times New Roman" w:eastAsia="宋体" w:cs="Times New Roman"/>
                <w:sz w:val="21"/>
                <w:szCs w:val="21"/>
                <w:vertAlign w:val="superscript"/>
              </w:rPr>
              <w:t>2</w:t>
            </w:r>
          </w:p>
        </w:tc>
        <w:tc>
          <w:tcPr>
            <w:tcW w:w="626" w:type="pct"/>
            <w:noWrap w:val="0"/>
            <w:vAlign w:val="center"/>
          </w:tcPr>
          <w:p w14:paraId="51CA472F">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47A5E22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180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14:paraId="6E83C4C1">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9</w:t>
            </w:r>
          </w:p>
        </w:tc>
        <w:tc>
          <w:tcPr>
            <w:tcW w:w="731" w:type="pct"/>
            <w:noWrap w:val="0"/>
            <w:vAlign w:val="center"/>
          </w:tcPr>
          <w:p w14:paraId="2418F742">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回流罐</w:t>
            </w:r>
          </w:p>
        </w:tc>
        <w:tc>
          <w:tcPr>
            <w:tcW w:w="866" w:type="pct"/>
            <w:noWrap w:val="0"/>
            <w:vAlign w:val="center"/>
          </w:tcPr>
          <w:p w14:paraId="4BF97AB3">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V=0.5m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，Φ800*1000</w:t>
            </w:r>
          </w:p>
        </w:tc>
        <w:tc>
          <w:tcPr>
            <w:tcW w:w="597" w:type="pct"/>
            <w:noWrap w:val="0"/>
            <w:vAlign w:val="center"/>
          </w:tcPr>
          <w:p w14:paraId="4A0A8E5F">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2D70CA32">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V=0.5m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，Φ800*1000</w:t>
            </w:r>
          </w:p>
        </w:tc>
        <w:tc>
          <w:tcPr>
            <w:tcW w:w="626" w:type="pct"/>
            <w:noWrap w:val="0"/>
            <w:vAlign w:val="center"/>
          </w:tcPr>
          <w:p w14:paraId="1BC4CF89">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10AB57A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98E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19E45FD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10</w:t>
            </w:r>
          </w:p>
        </w:tc>
        <w:tc>
          <w:tcPr>
            <w:tcW w:w="731" w:type="pct"/>
            <w:noWrap w:val="0"/>
            <w:vAlign w:val="center"/>
          </w:tcPr>
          <w:p w14:paraId="69021771">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醋酸接收罐</w:t>
            </w:r>
          </w:p>
        </w:tc>
        <w:tc>
          <w:tcPr>
            <w:tcW w:w="866" w:type="pct"/>
            <w:noWrap w:val="0"/>
            <w:vAlign w:val="center"/>
          </w:tcPr>
          <w:p w14:paraId="36CC05BE">
            <w:pPr>
              <w:pStyle w:val="2"/>
              <w:adjustRightInd w:val="0"/>
              <w:snapToGrid w:val="0"/>
              <w:spacing w:after="0"/>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sz w:val="21"/>
                <w:szCs w:val="21"/>
              </w:rPr>
              <w:t>V=5m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，Φ1500*2800</w:t>
            </w:r>
          </w:p>
        </w:tc>
        <w:tc>
          <w:tcPr>
            <w:tcW w:w="597" w:type="pct"/>
            <w:noWrap w:val="0"/>
            <w:vAlign w:val="center"/>
          </w:tcPr>
          <w:p w14:paraId="2A825DE8">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4</w:t>
            </w:r>
          </w:p>
        </w:tc>
        <w:tc>
          <w:tcPr>
            <w:tcW w:w="863" w:type="pct"/>
            <w:noWrap w:val="0"/>
            <w:vAlign w:val="center"/>
          </w:tcPr>
          <w:p w14:paraId="2FF66874">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sz w:val="21"/>
                <w:szCs w:val="21"/>
              </w:rPr>
              <w:t>V=5m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，Φ1500*2800</w:t>
            </w:r>
          </w:p>
        </w:tc>
        <w:tc>
          <w:tcPr>
            <w:tcW w:w="626" w:type="pct"/>
            <w:noWrap w:val="0"/>
            <w:vAlign w:val="center"/>
          </w:tcPr>
          <w:p w14:paraId="74B4D27E">
            <w:pPr>
              <w:pStyle w:val="2"/>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b w:val="0"/>
                <w:bCs w:val="0"/>
                <w:sz w:val="21"/>
                <w:szCs w:val="21"/>
                <w:lang w:val="en-US" w:eastAsia="zh-CN"/>
              </w:rPr>
              <w:t>4</w:t>
            </w:r>
          </w:p>
        </w:tc>
        <w:tc>
          <w:tcPr>
            <w:tcW w:w="911" w:type="pct"/>
            <w:noWrap w:val="0"/>
            <w:vAlign w:val="center"/>
          </w:tcPr>
          <w:p w14:paraId="0DA2FFC1">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53CB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DDA3C69">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11</w:t>
            </w:r>
          </w:p>
        </w:tc>
        <w:tc>
          <w:tcPr>
            <w:tcW w:w="731" w:type="pct"/>
            <w:noWrap w:val="0"/>
            <w:vAlign w:val="center"/>
          </w:tcPr>
          <w:p w14:paraId="7A0643F6">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酸水接收罐</w:t>
            </w:r>
          </w:p>
        </w:tc>
        <w:tc>
          <w:tcPr>
            <w:tcW w:w="866" w:type="pct"/>
            <w:noWrap w:val="0"/>
            <w:vAlign w:val="center"/>
          </w:tcPr>
          <w:p w14:paraId="1822E6B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V=4m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，Φ1400*2200</w:t>
            </w:r>
          </w:p>
        </w:tc>
        <w:tc>
          <w:tcPr>
            <w:tcW w:w="597" w:type="pct"/>
            <w:noWrap w:val="0"/>
            <w:vAlign w:val="center"/>
          </w:tcPr>
          <w:p w14:paraId="040BB34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863" w:type="pct"/>
            <w:noWrap w:val="0"/>
            <w:vAlign w:val="center"/>
          </w:tcPr>
          <w:p w14:paraId="706C261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V=4m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，Φ1400*2200</w:t>
            </w:r>
          </w:p>
        </w:tc>
        <w:tc>
          <w:tcPr>
            <w:tcW w:w="626" w:type="pct"/>
            <w:noWrap w:val="0"/>
            <w:vAlign w:val="center"/>
          </w:tcPr>
          <w:p w14:paraId="3576251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911" w:type="pct"/>
            <w:noWrap w:val="0"/>
            <w:vAlign w:val="center"/>
          </w:tcPr>
          <w:p w14:paraId="0D65C260">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2AEA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7F127E9D">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12</w:t>
            </w:r>
          </w:p>
        </w:tc>
        <w:tc>
          <w:tcPr>
            <w:tcW w:w="731" w:type="pct"/>
            <w:noWrap w:val="0"/>
            <w:vAlign w:val="center"/>
          </w:tcPr>
          <w:p w14:paraId="69D393B7">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高位计量槽</w:t>
            </w:r>
          </w:p>
        </w:tc>
        <w:tc>
          <w:tcPr>
            <w:tcW w:w="866" w:type="pct"/>
            <w:noWrap w:val="0"/>
            <w:vAlign w:val="center"/>
          </w:tcPr>
          <w:p w14:paraId="0616B4F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V=5m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，Φ1500*2800</w:t>
            </w:r>
          </w:p>
        </w:tc>
        <w:tc>
          <w:tcPr>
            <w:tcW w:w="597" w:type="pct"/>
            <w:noWrap w:val="0"/>
            <w:vAlign w:val="center"/>
          </w:tcPr>
          <w:p w14:paraId="5004AED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863" w:type="pct"/>
            <w:noWrap w:val="0"/>
            <w:vAlign w:val="center"/>
          </w:tcPr>
          <w:p w14:paraId="7FCCEF8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V=5m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，Φ1500*2800</w:t>
            </w:r>
          </w:p>
        </w:tc>
        <w:tc>
          <w:tcPr>
            <w:tcW w:w="626" w:type="pct"/>
            <w:noWrap w:val="0"/>
            <w:vAlign w:val="center"/>
          </w:tcPr>
          <w:p w14:paraId="29E0F6B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911" w:type="pct"/>
            <w:noWrap w:val="0"/>
            <w:vAlign w:val="center"/>
          </w:tcPr>
          <w:p w14:paraId="4F18FF51">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B07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7972F570">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13</w:t>
            </w:r>
          </w:p>
        </w:tc>
        <w:tc>
          <w:tcPr>
            <w:tcW w:w="731" w:type="pct"/>
            <w:noWrap w:val="0"/>
            <w:vAlign w:val="center"/>
          </w:tcPr>
          <w:p w14:paraId="3DA3BE05">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T型过滤器</w:t>
            </w:r>
          </w:p>
        </w:tc>
        <w:tc>
          <w:tcPr>
            <w:tcW w:w="866" w:type="pct"/>
            <w:noWrap w:val="0"/>
            <w:vAlign w:val="center"/>
          </w:tcPr>
          <w:p w14:paraId="47C93DB1">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NF-10型，Φ400*600</w:t>
            </w:r>
          </w:p>
        </w:tc>
        <w:tc>
          <w:tcPr>
            <w:tcW w:w="597" w:type="pct"/>
            <w:noWrap w:val="0"/>
            <w:vAlign w:val="center"/>
          </w:tcPr>
          <w:p w14:paraId="59A8C2D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863" w:type="pct"/>
            <w:noWrap w:val="0"/>
            <w:vAlign w:val="center"/>
          </w:tcPr>
          <w:p w14:paraId="0E2EF12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NF-10型，Φ400*600</w:t>
            </w:r>
          </w:p>
        </w:tc>
        <w:tc>
          <w:tcPr>
            <w:tcW w:w="626" w:type="pct"/>
            <w:noWrap w:val="0"/>
            <w:vAlign w:val="center"/>
          </w:tcPr>
          <w:p w14:paraId="57E3DC9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911" w:type="pct"/>
            <w:noWrap w:val="0"/>
            <w:vAlign w:val="center"/>
          </w:tcPr>
          <w:p w14:paraId="40ECBABA">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997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noWrap w:val="0"/>
            <w:vAlign w:val="center"/>
          </w:tcPr>
          <w:p w14:paraId="6C0ABDCE">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14</w:t>
            </w:r>
          </w:p>
        </w:tc>
        <w:tc>
          <w:tcPr>
            <w:tcW w:w="731" w:type="pct"/>
            <w:noWrap w:val="0"/>
            <w:vAlign w:val="center"/>
          </w:tcPr>
          <w:p w14:paraId="77C5F0AF">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增压过滤器</w:t>
            </w:r>
          </w:p>
        </w:tc>
        <w:tc>
          <w:tcPr>
            <w:tcW w:w="866" w:type="pct"/>
            <w:noWrap w:val="0"/>
            <w:vAlign w:val="center"/>
          </w:tcPr>
          <w:p w14:paraId="1B0CF52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NF-10型，Φ800*2000</w:t>
            </w:r>
          </w:p>
        </w:tc>
        <w:tc>
          <w:tcPr>
            <w:tcW w:w="597" w:type="pct"/>
            <w:noWrap w:val="0"/>
            <w:vAlign w:val="center"/>
          </w:tcPr>
          <w:p w14:paraId="1B7489E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863" w:type="pct"/>
            <w:noWrap w:val="0"/>
            <w:vAlign w:val="center"/>
          </w:tcPr>
          <w:p w14:paraId="211BCEA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NF-10型，Φ800*2000</w:t>
            </w:r>
          </w:p>
        </w:tc>
        <w:tc>
          <w:tcPr>
            <w:tcW w:w="626" w:type="pct"/>
            <w:noWrap w:val="0"/>
            <w:vAlign w:val="center"/>
          </w:tcPr>
          <w:p w14:paraId="13F8AD8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911" w:type="pct"/>
            <w:noWrap w:val="0"/>
            <w:vAlign w:val="center"/>
          </w:tcPr>
          <w:p w14:paraId="3807891D">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797F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8CAAD4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15</w:t>
            </w:r>
          </w:p>
        </w:tc>
        <w:tc>
          <w:tcPr>
            <w:tcW w:w="731" w:type="pct"/>
            <w:noWrap w:val="0"/>
            <w:vAlign w:val="center"/>
          </w:tcPr>
          <w:p w14:paraId="54E1D157">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精细过滤器</w:t>
            </w:r>
          </w:p>
        </w:tc>
        <w:tc>
          <w:tcPr>
            <w:tcW w:w="866" w:type="pct"/>
            <w:noWrap w:val="0"/>
            <w:vAlign w:val="center"/>
          </w:tcPr>
          <w:p w14:paraId="6EDDD12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NF-10型，Φ1000*2500</w:t>
            </w:r>
          </w:p>
        </w:tc>
        <w:tc>
          <w:tcPr>
            <w:tcW w:w="597" w:type="pct"/>
            <w:noWrap w:val="0"/>
            <w:vAlign w:val="center"/>
          </w:tcPr>
          <w:p w14:paraId="7C8180C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863" w:type="pct"/>
            <w:noWrap w:val="0"/>
            <w:vAlign w:val="center"/>
          </w:tcPr>
          <w:p w14:paraId="49A4D00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NF-10型，Φ1000*2500</w:t>
            </w:r>
          </w:p>
        </w:tc>
        <w:tc>
          <w:tcPr>
            <w:tcW w:w="626" w:type="pct"/>
            <w:noWrap w:val="0"/>
            <w:vAlign w:val="center"/>
          </w:tcPr>
          <w:p w14:paraId="6114613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911" w:type="pct"/>
            <w:noWrap w:val="0"/>
            <w:vAlign w:val="center"/>
          </w:tcPr>
          <w:p w14:paraId="2F5276A4">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5470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03" w:type="pct"/>
            <w:noWrap w:val="0"/>
            <w:vAlign w:val="center"/>
          </w:tcPr>
          <w:p w14:paraId="119159C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16</w:t>
            </w:r>
          </w:p>
        </w:tc>
        <w:tc>
          <w:tcPr>
            <w:tcW w:w="731" w:type="pct"/>
            <w:noWrap w:val="0"/>
            <w:vAlign w:val="center"/>
          </w:tcPr>
          <w:p w14:paraId="0BC4047E">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纤维反渗透过滤设备</w:t>
            </w:r>
          </w:p>
        </w:tc>
        <w:tc>
          <w:tcPr>
            <w:tcW w:w="866" w:type="pct"/>
            <w:noWrap w:val="0"/>
            <w:vAlign w:val="center"/>
          </w:tcPr>
          <w:p w14:paraId="483F4A8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w:t>
            </w:r>
          </w:p>
        </w:tc>
        <w:tc>
          <w:tcPr>
            <w:tcW w:w="597" w:type="pct"/>
            <w:noWrap w:val="0"/>
            <w:vAlign w:val="center"/>
          </w:tcPr>
          <w:p w14:paraId="01995B4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863" w:type="pct"/>
            <w:noWrap w:val="0"/>
            <w:vAlign w:val="center"/>
          </w:tcPr>
          <w:p w14:paraId="638693F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NF-10型</w:t>
            </w:r>
          </w:p>
        </w:tc>
        <w:tc>
          <w:tcPr>
            <w:tcW w:w="626" w:type="pct"/>
            <w:noWrap w:val="0"/>
            <w:vAlign w:val="center"/>
          </w:tcPr>
          <w:p w14:paraId="02D1EE4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一组2个</w:t>
            </w:r>
          </w:p>
        </w:tc>
        <w:tc>
          <w:tcPr>
            <w:tcW w:w="911" w:type="pct"/>
            <w:noWrap w:val="0"/>
            <w:vAlign w:val="center"/>
          </w:tcPr>
          <w:p w14:paraId="750189CF">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EF6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51EFC72">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17</w:t>
            </w:r>
          </w:p>
        </w:tc>
        <w:tc>
          <w:tcPr>
            <w:tcW w:w="731" w:type="pct"/>
            <w:noWrap w:val="0"/>
            <w:vAlign w:val="center"/>
          </w:tcPr>
          <w:p w14:paraId="0D013297">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原料储罐</w:t>
            </w:r>
          </w:p>
        </w:tc>
        <w:tc>
          <w:tcPr>
            <w:tcW w:w="866" w:type="pct"/>
            <w:noWrap w:val="0"/>
            <w:vAlign w:val="center"/>
          </w:tcPr>
          <w:p w14:paraId="17DB2C9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，Φ4000*6100</w:t>
            </w:r>
          </w:p>
        </w:tc>
        <w:tc>
          <w:tcPr>
            <w:tcW w:w="597" w:type="pct"/>
            <w:noWrap w:val="0"/>
            <w:vAlign w:val="center"/>
          </w:tcPr>
          <w:p w14:paraId="6E232381">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51E4836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，Φ4000*6100</w:t>
            </w:r>
          </w:p>
        </w:tc>
        <w:tc>
          <w:tcPr>
            <w:tcW w:w="626" w:type="pct"/>
            <w:noWrap w:val="0"/>
            <w:vAlign w:val="center"/>
          </w:tcPr>
          <w:p w14:paraId="6C4E368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7D3097C8">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537A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BC5F75C">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18</w:t>
            </w:r>
          </w:p>
        </w:tc>
        <w:tc>
          <w:tcPr>
            <w:tcW w:w="731" w:type="pct"/>
            <w:noWrap w:val="0"/>
            <w:vAlign w:val="center"/>
          </w:tcPr>
          <w:p w14:paraId="20A63C02">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成品储罐</w:t>
            </w:r>
          </w:p>
        </w:tc>
        <w:tc>
          <w:tcPr>
            <w:tcW w:w="866" w:type="pct"/>
            <w:noWrap w:val="0"/>
            <w:vAlign w:val="center"/>
          </w:tcPr>
          <w:p w14:paraId="4B843AC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，Φ4000*6100</w:t>
            </w:r>
          </w:p>
        </w:tc>
        <w:tc>
          <w:tcPr>
            <w:tcW w:w="597" w:type="pct"/>
            <w:noWrap w:val="0"/>
            <w:vAlign w:val="center"/>
          </w:tcPr>
          <w:p w14:paraId="24B72F0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20ED626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，Φ4000*6100</w:t>
            </w:r>
          </w:p>
        </w:tc>
        <w:tc>
          <w:tcPr>
            <w:tcW w:w="626" w:type="pct"/>
            <w:noWrap w:val="0"/>
            <w:vAlign w:val="center"/>
          </w:tcPr>
          <w:p w14:paraId="389F445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1A6A5ADB">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F82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548795FE">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19</w:t>
            </w:r>
          </w:p>
        </w:tc>
        <w:tc>
          <w:tcPr>
            <w:tcW w:w="731" w:type="pct"/>
            <w:noWrap w:val="0"/>
            <w:vAlign w:val="center"/>
          </w:tcPr>
          <w:p w14:paraId="4BA6A172">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立式双封头储罐</w:t>
            </w:r>
          </w:p>
        </w:tc>
        <w:tc>
          <w:tcPr>
            <w:tcW w:w="866" w:type="pct"/>
            <w:noWrap w:val="0"/>
            <w:vAlign w:val="center"/>
          </w:tcPr>
          <w:p w14:paraId="180B09B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.5m</w:t>
            </w:r>
            <w:r>
              <w:rPr>
                <w:rFonts w:hint="default" w:ascii="Times New Roman" w:hAnsi="Times New Roman" w:eastAsia="宋体" w:cs="Times New Roman"/>
                <w:sz w:val="21"/>
                <w:szCs w:val="21"/>
                <w:vertAlign w:val="superscript"/>
              </w:rPr>
              <w:t>3</w:t>
            </w:r>
          </w:p>
        </w:tc>
        <w:tc>
          <w:tcPr>
            <w:tcW w:w="597" w:type="pct"/>
            <w:noWrap w:val="0"/>
            <w:vAlign w:val="center"/>
          </w:tcPr>
          <w:p w14:paraId="259187F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p>
        </w:tc>
        <w:tc>
          <w:tcPr>
            <w:tcW w:w="863" w:type="pct"/>
            <w:noWrap w:val="0"/>
            <w:vAlign w:val="center"/>
          </w:tcPr>
          <w:p w14:paraId="60272B3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.5m</w:t>
            </w:r>
            <w:r>
              <w:rPr>
                <w:rFonts w:hint="default" w:ascii="Times New Roman" w:hAnsi="Times New Roman" w:eastAsia="宋体" w:cs="Times New Roman"/>
                <w:sz w:val="21"/>
                <w:szCs w:val="21"/>
                <w:vertAlign w:val="superscript"/>
              </w:rPr>
              <w:t>3</w:t>
            </w:r>
          </w:p>
        </w:tc>
        <w:tc>
          <w:tcPr>
            <w:tcW w:w="626" w:type="pct"/>
            <w:noWrap w:val="0"/>
            <w:vAlign w:val="center"/>
          </w:tcPr>
          <w:p w14:paraId="575271E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p>
        </w:tc>
        <w:tc>
          <w:tcPr>
            <w:tcW w:w="911" w:type="pct"/>
            <w:noWrap w:val="0"/>
            <w:vAlign w:val="center"/>
          </w:tcPr>
          <w:p w14:paraId="2D74F164">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48C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7C54CD6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20</w:t>
            </w:r>
          </w:p>
        </w:tc>
        <w:tc>
          <w:tcPr>
            <w:tcW w:w="731" w:type="pct"/>
            <w:noWrap w:val="0"/>
            <w:vAlign w:val="center"/>
          </w:tcPr>
          <w:p w14:paraId="729E9D78">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包装平衡罐</w:t>
            </w:r>
          </w:p>
        </w:tc>
        <w:tc>
          <w:tcPr>
            <w:tcW w:w="866" w:type="pct"/>
            <w:noWrap w:val="0"/>
            <w:vAlign w:val="center"/>
          </w:tcPr>
          <w:p w14:paraId="4535DB8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30m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，Φ2800*6500</w:t>
            </w:r>
          </w:p>
        </w:tc>
        <w:tc>
          <w:tcPr>
            <w:tcW w:w="597" w:type="pct"/>
            <w:noWrap w:val="0"/>
            <w:vAlign w:val="center"/>
          </w:tcPr>
          <w:p w14:paraId="435176D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0F1620C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30m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，Φ2800*6500</w:t>
            </w:r>
          </w:p>
        </w:tc>
        <w:tc>
          <w:tcPr>
            <w:tcW w:w="626" w:type="pct"/>
            <w:noWrap w:val="0"/>
            <w:vAlign w:val="center"/>
          </w:tcPr>
          <w:p w14:paraId="746F89D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4062C954">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243C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6F520F92">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21</w:t>
            </w:r>
          </w:p>
        </w:tc>
        <w:tc>
          <w:tcPr>
            <w:tcW w:w="731" w:type="pct"/>
            <w:noWrap w:val="0"/>
            <w:vAlign w:val="center"/>
          </w:tcPr>
          <w:p w14:paraId="55C41B9B">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流量检测控制系统</w:t>
            </w:r>
          </w:p>
        </w:tc>
        <w:tc>
          <w:tcPr>
            <w:tcW w:w="866" w:type="pct"/>
            <w:noWrap w:val="0"/>
            <w:vAlign w:val="center"/>
          </w:tcPr>
          <w:p w14:paraId="7C2EB9A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UHZ-LBDC24V</w:t>
            </w:r>
          </w:p>
        </w:tc>
        <w:tc>
          <w:tcPr>
            <w:tcW w:w="597" w:type="pct"/>
            <w:noWrap w:val="0"/>
            <w:vAlign w:val="center"/>
          </w:tcPr>
          <w:p w14:paraId="03B1B76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4组</w:t>
            </w:r>
          </w:p>
        </w:tc>
        <w:tc>
          <w:tcPr>
            <w:tcW w:w="863" w:type="pct"/>
            <w:noWrap w:val="0"/>
            <w:vAlign w:val="center"/>
          </w:tcPr>
          <w:p w14:paraId="43BB435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UHZ-LBDC24V</w:t>
            </w:r>
          </w:p>
        </w:tc>
        <w:tc>
          <w:tcPr>
            <w:tcW w:w="626" w:type="pct"/>
            <w:noWrap w:val="0"/>
            <w:vAlign w:val="center"/>
          </w:tcPr>
          <w:p w14:paraId="1483A57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4组</w:t>
            </w:r>
          </w:p>
        </w:tc>
        <w:tc>
          <w:tcPr>
            <w:tcW w:w="911" w:type="pct"/>
            <w:noWrap w:val="0"/>
            <w:vAlign w:val="center"/>
          </w:tcPr>
          <w:p w14:paraId="702B47FC">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689E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11252E8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22</w:t>
            </w:r>
          </w:p>
        </w:tc>
        <w:tc>
          <w:tcPr>
            <w:tcW w:w="731" w:type="pct"/>
            <w:noWrap w:val="0"/>
            <w:vAlign w:val="center"/>
          </w:tcPr>
          <w:p w14:paraId="506B8410">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循环水系统</w:t>
            </w:r>
          </w:p>
        </w:tc>
        <w:tc>
          <w:tcPr>
            <w:tcW w:w="866" w:type="pct"/>
            <w:noWrap w:val="0"/>
            <w:vAlign w:val="center"/>
          </w:tcPr>
          <w:p w14:paraId="356F1DA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20T/h</w:t>
            </w:r>
          </w:p>
        </w:tc>
        <w:tc>
          <w:tcPr>
            <w:tcW w:w="597" w:type="pct"/>
            <w:noWrap w:val="0"/>
            <w:vAlign w:val="center"/>
          </w:tcPr>
          <w:p w14:paraId="069E50C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3DB0B32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20T/h</w:t>
            </w:r>
          </w:p>
        </w:tc>
        <w:tc>
          <w:tcPr>
            <w:tcW w:w="626" w:type="pct"/>
            <w:noWrap w:val="0"/>
            <w:vAlign w:val="center"/>
          </w:tcPr>
          <w:p w14:paraId="0B03EE3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79567E15">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5F29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6CDFB7AC">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23</w:t>
            </w:r>
          </w:p>
        </w:tc>
        <w:tc>
          <w:tcPr>
            <w:tcW w:w="731" w:type="pct"/>
            <w:noWrap w:val="0"/>
            <w:vAlign w:val="center"/>
          </w:tcPr>
          <w:p w14:paraId="2DB23840">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全自动包装控制系统</w:t>
            </w:r>
          </w:p>
        </w:tc>
        <w:tc>
          <w:tcPr>
            <w:tcW w:w="866" w:type="pct"/>
            <w:noWrap w:val="0"/>
            <w:vAlign w:val="center"/>
          </w:tcPr>
          <w:p w14:paraId="7E30F91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173E617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863" w:type="pct"/>
            <w:noWrap w:val="0"/>
            <w:vAlign w:val="center"/>
          </w:tcPr>
          <w:p w14:paraId="2E469FC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724307A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911" w:type="pct"/>
            <w:noWrap w:val="0"/>
            <w:vAlign w:val="center"/>
          </w:tcPr>
          <w:p w14:paraId="7213343A">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7898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4ECC9984">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24</w:t>
            </w:r>
          </w:p>
        </w:tc>
        <w:tc>
          <w:tcPr>
            <w:tcW w:w="731" w:type="pct"/>
            <w:noWrap w:val="0"/>
            <w:vAlign w:val="center"/>
          </w:tcPr>
          <w:p w14:paraId="3C2029A6">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生产自动化控制设备</w:t>
            </w:r>
          </w:p>
        </w:tc>
        <w:tc>
          <w:tcPr>
            <w:tcW w:w="866" w:type="pct"/>
            <w:noWrap w:val="0"/>
            <w:vAlign w:val="center"/>
          </w:tcPr>
          <w:p w14:paraId="4050F3C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3B2260F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863" w:type="pct"/>
            <w:noWrap w:val="0"/>
            <w:vAlign w:val="center"/>
          </w:tcPr>
          <w:p w14:paraId="43E0ADE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730E683A">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911" w:type="pct"/>
            <w:noWrap w:val="0"/>
            <w:vAlign w:val="center"/>
          </w:tcPr>
          <w:p w14:paraId="45C8F742">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7444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7ED29968">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25</w:t>
            </w:r>
          </w:p>
        </w:tc>
        <w:tc>
          <w:tcPr>
            <w:tcW w:w="731" w:type="pct"/>
            <w:noWrap w:val="0"/>
            <w:vAlign w:val="center"/>
          </w:tcPr>
          <w:p w14:paraId="1D1FBB48">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磁力泵</w:t>
            </w:r>
          </w:p>
        </w:tc>
        <w:tc>
          <w:tcPr>
            <w:tcW w:w="866" w:type="pct"/>
            <w:noWrap w:val="0"/>
            <w:vAlign w:val="center"/>
          </w:tcPr>
          <w:p w14:paraId="5BD0705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597" w:type="pct"/>
            <w:noWrap w:val="0"/>
            <w:vAlign w:val="center"/>
          </w:tcPr>
          <w:p w14:paraId="45BE685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57091D4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26" w:type="pct"/>
            <w:noWrap w:val="0"/>
            <w:vAlign w:val="center"/>
          </w:tcPr>
          <w:p w14:paraId="58E00EB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7B1543E4">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DBA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1E72F46F">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26</w:t>
            </w:r>
          </w:p>
        </w:tc>
        <w:tc>
          <w:tcPr>
            <w:tcW w:w="731" w:type="pct"/>
            <w:noWrap w:val="0"/>
            <w:vAlign w:val="center"/>
          </w:tcPr>
          <w:p w14:paraId="7855AC46">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磁力泵</w:t>
            </w:r>
          </w:p>
        </w:tc>
        <w:tc>
          <w:tcPr>
            <w:tcW w:w="866" w:type="pct"/>
            <w:noWrap w:val="0"/>
            <w:vAlign w:val="center"/>
          </w:tcPr>
          <w:p w14:paraId="1231796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597" w:type="pct"/>
            <w:noWrap w:val="0"/>
            <w:vAlign w:val="center"/>
          </w:tcPr>
          <w:p w14:paraId="6B5A73E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863" w:type="pct"/>
            <w:noWrap w:val="0"/>
            <w:vAlign w:val="center"/>
          </w:tcPr>
          <w:p w14:paraId="75EE4C8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26" w:type="pct"/>
            <w:noWrap w:val="0"/>
            <w:vAlign w:val="center"/>
          </w:tcPr>
          <w:p w14:paraId="24387B8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911" w:type="pct"/>
            <w:noWrap w:val="0"/>
            <w:vAlign w:val="center"/>
          </w:tcPr>
          <w:p w14:paraId="6DA3C3F6">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60D0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BF8429D">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27</w:t>
            </w:r>
          </w:p>
        </w:tc>
        <w:tc>
          <w:tcPr>
            <w:tcW w:w="731" w:type="pct"/>
            <w:noWrap w:val="0"/>
            <w:vAlign w:val="center"/>
          </w:tcPr>
          <w:p w14:paraId="7B78032E">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保温设备</w:t>
            </w:r>
          </w:p>
        </w:tc>
        <w:tc>
          <w:tcPr>
            <w:tcW w:w="866" w:type="pct"/>
            <w:noWrap w:val="0"/>
            <w:vAlign w:val="center"/>
          </w:tcPr>
          <w:p w14:paraId="1961022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1CC298A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2套</w:t>
            </w:r>
          </w:p>
        </w:tc>
        <w:tc>
          <w:tcPr>
            <w:tcW w:w="863" w:type="pct"/>
            <w:noWrap w:val="0"/>
            <w:vAlign w:val="center"/>
          </w:tcPr>
          <w:p w14:paraId="26811D0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7531030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2套</w:t>
            </w:r>
          </w:p>
        </w:tc>
        <w:tc>
          <w:tcPr>
            <w:tcW w:w="911" w:type="pct"/>
            <w:noWrap w:val="0"/>
            <w:vAlign w:val="center"/>
          </w:tcPr>
          <w:p w14:paraId="4FD49082">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7771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4A1D213D">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28</w:t>
            </w:r>
          </w:p>
        </w:tc>
        <w:tc>
          <w:tcPr>
            <w:tcW w:w="731" w:type="pct"/>
            <w:noWrap w:val="0"/>
            <w:vAlign w:val="center"/>
          </w:tcPr>
          <w:p w14:paraId="0EB93BD3">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尾气接收罐</w:t>
            </w:r>
          </w:p>
        </w:tc>
        <w:tc>
          <w:tcPr>
            <w:tcW w:w="866" w:type="pct"/>
            <w:noWrap w:val="0"/>
            <w:vAlign w:val="center"/>
          </w:tcPr>
          <w:p w14:paraId="4BBD3D0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2m</w:t>
            </w:r>
            <w:r>
              <w:rPr>
                <w:rFonts w:hint="default" w:ascii="Times New Roman" w:hAnsi="Times New Roman" w:eastAsia="宋体" w:cs="Times New Roman"/>
                <w:sz w:val="21"/>
                <w:szCs w:val="21"/>
                <w:vertAlign w:val="superscript"/>
              </w:rPr>
              <w:t>3</w:t>
            </w:r>
          </w:p>
        </w:tc>
        <w:tc>
          <w:tcPr>
            <w:tcW w:w="597" w:type="pct"/>
            <w:noWrap w:val="0"/>
            <w:vAlign w:val="center"/>
          </w:tcPr>
          <w:p w14:paraId="5700BE2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1C6872F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2m</w:t>
            </w:r>
            <w:r>
              <w:rPr>
                <w:rFonts w:hint="default" w:ascii="Times New Roman" w:hAnsi="Times New Roman" w:eastAsia="宋体" w:cs="Times New Roman"/>
                <w:sz w:val="21"/>
                <w:szCs w:val="21"/>
                <w:vertAlign w:val="superscript"/>
              </w:rPr>
              <w:t>3</w:t>
            </w:r>
          </w:p>
        </w:tc>
        <w:tc>
          <w:tcPr>
            <w:tcW w:w="626" w:type="pct"/>
            <w:noWrap w:val="0"/>
            <w:vAlign w:val="center"/>
          </w:tcPr>
          <w:p w14:paraId="03541C8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66F2E4BD">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252E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492E621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29</w:t>
            </w:r>
          </w:p>
        </w:tc>
        <w:tc>
          <w:tcPr>
            <w:tcW w:w="731" w:type="pct"/>
            <w:noWrap w:val="0"/>
            <w:vAlign w:val="center"/>
          </w:tcPr>
          <w:p w14:paraId="31BECD09">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吹塑设备</w:t>
            </w:r>
          </w:p>
        </w:tc>
        <w:tc>
          <w:tcPr>
            <w:tcW w:w="866" w:type="pct"/>
            <w:noWrap w:val="0"/>
            <w:vAlign w:val="center"/>
          </w:tcPr>
          <w:p w14:paraId="5FB2233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5B8D7DA8">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2套</w:t>
            </w:r>
          </w:p>
        </w:tc>
        <w:tc>
          <w:tcPr>
            <w:tcW w:w="863" w:type="pct"/>
            <w:noWrap w:val="0"/>
            <w:vAlign w:val="center"/>
          </w:tcPr>
          <w:p w14:paraId="4EE5CF9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4C51AFB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2套</w:t>
            </w:r>
          </w:p>
        </w:tc>
        <w:tc>
          <w:tcPr>
            <w:tcW w:w="911" w:type="pct"/>
            <w:noWrap w:val="0"/>
            <w:vAlign w:val="center"/>
          </w:tcPr>
          <w:p w14:paraId="1F3BB515">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441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38CD316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30</w:t>
            </w:r>
          </w:p>
        </w:tc>
        <w:tc>
          <w:tcPr>
            <w:tcW w:w="731" w:type="pct"/>
            <w:noWrap w:val="0"/>
            <w:vAlign w:val="center"/>
          </w:tcPr>
          <w:p w14:paraId="246E5D8A">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混料机</w:t>
            </w:r>
          </w:p>
        </w:tc>
        <w:tc>
          <w:tcPr>
            <w:tcW w:w="866" w:type="pct"/>
            <w:noWrap w:val="0"/>
            <w:vAlign w:val="center"/>
          </w:tcPr>
          <w:p w14:paraId="17CAF199">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7FE6459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468E038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319B2DF9">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2D8BA56A">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0C8B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4C989491">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31</w:t>
            </w:r>
          </w:p>
        </w:tc>
        <w:tc>
          <w:tcPr>
            <w:tcW w:w="731" w:type="pct"/>
            <w:noWrap w:val="0"/>
            <w:vAlign w:val="center"/>
          </w:tcPr>
          <w:p w14:paraId="00524AC1">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吹塑机</w:t>
            </w:r>
          </w:p>
        </w:tc>
        <w:tc>
          <w:tcPr>
            <w:tcW w:w="866" w:type="pct"/>
            <w:noWrap w:val="0"/>
            <w:vAlign w:val="center"/>
          </w:tcPr>
          <w:p w14:paraId="4F784C53">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TDB-50F</w:t>
            </w:r>
          </w:p>
        </w:tc>
        <w:tc>
          <w:tcPr>
            <w:tcW w:w="597" w:type="pct"/>
            <w:noWrap w:val="0"/>
            <w:vAlign w:val="center"/>
          </w:tcPr>
          <w:p w14:paraId="79EE41F0">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863" w:type="pct"/>
            <w:noWrap w:val="0"/>
            <w:vAlign w:val="center"/>
          </w:tcPr>
          <w:p w14:paraId="0BB9A3D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TDB-50F</w:t>
            </w:r>
          </w:p>
        </w:tc>
        <w:tc>
          <w:tcPr>
            <w:tcW w:w="626" w:type="pct"/>
            <w:noWrap w:val="0"/>
            <w:vAlign w:val="center"/>
          </w:tcPr>
          <w:p w14:paraId="6B71C86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911" w:type="pct"/>
            <w:noWrap w:val="0"/>
            <w:vAlign w:val="center"/>
          </w:tcPr>
          <w:p w14:paraId="5FF3F8E0">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10D5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0A4E417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32</w:t>
            </w:r>
          </w:p>
        </w:tc>
        <w:tc>
          <w:tcPr>
            <w:tcW w:w="731" w:type="pct"/>
            <w:noWrap w:val="0"/>
            <w:vAlign w:val="center"/>
          </w:tcPr>
          <w:p w14:paraId="58613A89">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破碎机</w:t>
            </w:r>
          </w:p>
        </w:tc>
        <w:tc>
          <w:tcPr>
            <w:tcW w:w="866" w:type="pct"/>
            <w:noWrap w:val="0"/>
            <w:vAlign w:val="center"/>
          </w:tcPr>
          <w:p w14:paraId="4EDC990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50cm</w:t>
            </w:r>
          </w:p>
        </w:tc>
        <w:tc>
          <w:tcPr>
            <w:tcW w:w="597" w:type="pct"/>
            <w:noWrap w:val="0"/>
            <w:vAlign w:val="center"/>
          </w:tcPr>
          <w:p w14:paraId="22C36E49">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7970C7D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50cm</w:t>
            </w:r>
          </w:p>
        </w:tc>
        <w:tc>
          <w:tcPr>
            <w:tcW w:w="626" w:type="pct"/>
            <w:noWrap w:val="0"/>
            <w:vAlign w:val="center"/>
          </w:tcPr>
          <w:p w14:paraId="4C48E0B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759A6B68">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032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7F26CD70">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33</w:t>
            </w:r>
          </w:p>
        </w:tc>
        <w:tc>
          <w:tcPr>
            <w:tcW w:w="731" w:type="pct"/>
            <w:noWrap w:val="0"/>
            <w:vAlign w:val="center"/>
          </w:tcPr>
          <w:p w14:paraId="01B7017A">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活性炭吸附设备</w:t>
            </w:r>
          </w:p>
        </w:tc>
        <w:tc>
          <w:tcPr>
            <w:tcW w:w="866" w:type="pct"/>
            <w:noWrap w:val="0"/>
            <w:vAlign w:val="center"/>
          </w:tcPr>
          <w:p w14:paraId="672AA78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7637059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1438E09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1CDDD97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122788BA">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A27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68838263">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34</w:t>
            </w:r>
          </w:p>
        </w:tc>
        <w:tc>
          <w:tcPr>
            <w:tcW w:w="731" w:type="pct"/>
            <w:noWrap w:val="0"/>
            <w:vAlign w:val="center"/>
          </w:tcPr>
          <w:p w14:paraId="286BD510">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风机</w:t>
            </w:r>
          </w:p>
        </w:tc>
        <w:tc>
          <w:tcPr>
            <w:tcW w:w="866" w:type="pct"/>
            <w:noWrap w:val="0"/>
            <w:vAlign w:val="center"/>
          </w:tcPr>
          <w:p w14:paraId="7670A85F">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6C49A66E">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863" w:type="pct"/>
            <w:noWrap w:val="0"/>
            <w:vAlign w:val="center"/>
          </w:tcPr>
          <w:p w14:paraId="613FC8A5">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09386D74">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911" w:type="pct"/>
            <w:noWrap w:val="0"/>
            <w:vAlign w:val="center"/>
          </w:tcPr>
          <w:p w14:paraId="39E7BB19">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5A0A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6BEE39D7">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35</w:t>
            </w:r>
          </w:p>
        </w:tc>
        <w:tc>
          <w:tcPr>
            <w:tcW w:w="731" w:type="pct"/>
            <w:noWrap w:val="0"/>
            <w:vAlign w:val="center"/>
          </w:tcPr>
          <w:p w14:paraId="4CAECC4A">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碱喷淋塔</w:t>
            </w:r>
          </w:p>
        </w:tc>
        <w:tc>
          <w:tcPr>
            <w:tcW w:w="866" w:type="pct"/>
            <w:noWrap w:val="0"/>
            <w:vAlign w:val="center"/>
          </w:tcPr>
          <w:p w14:paraId="5EEEC35D">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4FE86D2C">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63" w:type="pct"/>
            <w:noWrap w:val="0"/>
            <w:vAlign w:val="center"/>
          </w:tcPr>
          <w:p w14:paraId="579A46C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036D5B26">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11" w:type="pct"/>
            <w:noWrap w:val="0"/>
            <w:vAlign w:val="center"/>
          </w:tcPr>
          <w:p w14:paraId="645AFC1A">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14:paraId="4184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14:paraId="38718780">
            <w:pPr>
              <w:widowControl/>
              <w:overflowPunct w:val="0"/>
              <w:topLinePunct/>
              <w:snapToGrid w:val="0"/>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36</w:t>
            </w:r>
          </w:p>
        </w:tc>
        <w:tc>
          <w:tcPr>
            <w:tcW w:w="731" w:type="pct"/>
            <w:noWrap w:val="0"/>
            <w:vAlign w:val="center"/>
          </w:tcPr>
          <w:p w14:paraId="6B81B502">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污水处理一体化系统</w:t>
            </w:r>
          </w:p>
        </w:tc>
        <w:tc>
          <w:tcPr>
            <w:tcW w:w="866" w:type="pct"/>
            <w:noWrap w:val="0"/>
            <w:vAlign w:val="center"/>
          </w:tcPr>
          <w:p w14:paraId="4E854DB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597" w:type="pct"/>
            <w:noWrap w:val="0"/>
            <w:vAlign w:val="center"/>
          </w:tcPr>
          <w:p w14:paraId="6B762C8B">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863" w:type="pct"/>
            <w:noWrap w:val="0"/>
            <w:vAlign w:val="center"/>
          </w:tcPr>
          <w:p w14:paraId="3AEBF3C2">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26" w:type="pct"/>
            <w:noWrap w:val="0"/>
            <w:vAlign w:val="center"/>
          </w:tcPr>
          <w:p w14:paraId="3530CBE7">
            <w:pPr>
              <w:pStyle w:val="2"/>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1套</w:t>
            </w:r>
          </w:p>
        </w:tc>
        <w:tc>
          <w:tcPr>
            <w:tcW w:w="911" w:type="pct"/>
            <w:noWrap w:val="0"/>
            <w:vAlign w:val="center"/>
          </w:tcPr>
          <w:p w14:paraId="0BF109A7">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bl>
    <w:p w14:paraId="0AB9747A">
      <w:pPr>
        <w:pStyle w:val="50"/>
        <w:spacing w:line="360" w:lineRule="auto"/>
        <w:ind w:firstLine="0" w:firstLineChars="0"/>
        <w:jc w:val="left"/>
        <w:outlineLvl w:val="1"/>
        <w:rPr>
          <w:rFonts w:ascii="Times New Roman" w:hAnsi="Times New Roman" w:eastAsia="宋体" w:cs="Times New Roman"/>
          <w:b/>
          <w:sz w:val="28"/>
          <w:szCs w:val="32"/>
        </w:rPr>
      </w:pPr>
      <w:bookmarkStart w:id="23" w:name="_Toc27441"/>
      <w:r>
        <w:rPr>
          <w:rFonts w:ascii="Times New Roman" w:hAnsi="Times New Roman" w:eastAsia="宋体" w:cs="Times New Roman"/>
          <w:b/>
          <w:sz w:val="28"/>
          <w:szCs w:val="32"/>
        </w:rPr>
        <w:t>3.4水源及水平衡</w:t>
      </w:r>
      <w:bookmarkEnd w:id="23"/>
    </w:p>
    <w:p w14:paraId="0242F1E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给水：本项目用水包括生活用水、生产用水、绿化用水以及厂区设备用水等其他用水，由成武县大田集镇市政自来水管网供给。</w:t>
      </w:r>
    </w:p>
    <w:p w14:paraId="0F4D5AA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生活用水：项目劳动定员为40人，生活用水量按40L/人·d计算，生活日用水量为 1.6m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，年工作300天计算，年用水量为 480m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w:t>
      </w:r>
    </w:p>
    <w:p w14:paraId="48ECFD0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生产用水：拟建项目冷却水为循环用水，不外排。设备清洗使用拖布清洗运输车辆在厂外冲洗。碱喷淋塔的吸收液在塔底经水泵增压后在塔顶喷淋而下之后回流至塔底循环使用,到含盐量到达一定程度收集处理,取平均用水量 1t/d年用水量为 300ta。</w:t>
      </w:r>
    </w:p>
    <w:p w14:paraId="0C002C3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绿地面积按总面积10%计算，绿化用水为草坪每m</w:t>
      </w:r>
      <w:r>
        <w:rPr>
          <w:rFonts w:hint="eastAsia" w:ascii="Times New Roman" w:hAnsi="Times New Roman" w:eastAsia="宋体" w:cs="Times New Roman"/>
          <w:kern w:val="2"/>
          <w:sz w:val="24"/>
          <w:szCs w:val="22"/>
          <w:vertAlign w:val="superscript"/>
          <w:lang w:val="en-US" w:eastAsia="zh-CN" w:bidi="ar-SA"/>
        </w:rPr>
        <w:t>2</w:t>
      </w:r>
      <w:r>
        <w:rPr>
          <w:rFonts w:hint="eastAsia" w:ascii="Times New Roman" w:hAnsi="Times New Roman" w:eastAsia="宋体" w:cs="Times New Roman"/>
          <w:kern w:val="2"/>
          <w:sz w:val="24"/>
          <w:szCs w:val="22"/>
          <w:lang w:val="en-US" w:eastAsia="zh-CN" w:bidi="ar-SA"/>
        </w:rPr>
        <w:t>每年可以按照 0.1m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水计算，13300m</w:t>
      </w:r>
      <w:r>
        <w:rPr>
          <w:rFonts w:hint="eastAsia" w:ascii="Times New Roman" w:hAnsi="Times New Roman" w:eastAsia="宋体" w:cs="Times New Roman"/>
          <w:kern w:val="2"/>
          <w:sz w:val="24"/>
          <w:szCs w:val="22"/>
          <w:vertAlign w:val="superscript"/>
          <w:lang w:val="en-US" w:eastAsia="zh-CN" w:bidi="ar-SA"/>
        </w:rPr>
        <w:t>2</w:t>
      </w:r>
      <w:r>
        <w:rPr>
          <w:rFonts w:hint="eastAsia" w:ascii="Times New Roman" w:hAnsi="Times New Roman" w:eastAsia="宋体" w:cs="Times New Roman"/>
          <w:kern w:val="2"/>
          <w:sz w:val="24"/>
          <w:szCs w:val="22"/>
          <w:lang w:val="en-US" w:eastAsia="zh-CN" w:bidi="ar-SA"/>
        </w:rPr>
        <w:t>x10%x0.1m3=133m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消防用水及不可预见用水等，年水消耗500 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w:t>
      </w:r>
    </w:p>
    <w:p w14:paraId="2674DA00">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消防用水及不可预见用水等，年水消耗 </w:t>
      </w:r>
      <w:r>
        <w:rPr>
          <w:rFonts w:hint="default" w:ascii="Times New Roman" w:hAnsi="Times New Roman" w:eastAsia="宋体" w:cs="Times New Roman"/>
          <w:color w:val="000000"/>
          <w:kern w:val="0"/>
          <w:sz w:val="24"/>
          <w:szCs w:val="24"/>
          <w:lang w:val="en-US" w:eastAsia="zh-CN" w:bidi="ar"/>
        </w:rPr>
        <w:t>500 m</w:t>
      </w:r>
      <w:r>
        <w:rPr>
          <w:rFonts w:hint="eastAsia" w:ascii="Times New Roman" w:hAnsi="Times New Roman" w:eastAsia="宋体" w:cs="Times New Roman"/>
          <w:kern w:val="2"/>
          <w:sz w:val="24"/>
          <w:szCs w:val="22"/>
          <w:vertAlign w:val="superscript"/>
          <w:lang w:val="en-US" w:eastAsia="zh-CN" w:bidi="ar-SA"/>
        </w:rPr>
        <w:t>3</w:t>
      </w:r>
      <w:r>
        <w:rPr>
          <w:rFonts w:hint="eastAsia" w:ascii="宋体" w:hAnsi="宋体" w:eastAsia="宋体" w:cs="宋体"/>
          <w:color w:val="000000"/>
          <w:kern w:val="0"/>
          <w:sz w:val="24"/>
          <w:szCs w:val="24"/>
          <w:lang w:val="en-US" w:eastAsia="zh-CN" w:bidi="ar"/>
        </w:rPr>
        <w:t>。</w:t>
      </w:r>
    </w:p>
    <w:p w14:paraId="27EB6DE1">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（2）排水</w:t>
      </w:r>
    </w:p>
    <w:p w14:paraId="30D3EB0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本项目新增污水为生活污水以及碱喷淋产生的生产废水。碱喷淋产生的废水经过废水池进行收集，通过污水处理一体化系统处理后，排入市政污水管网；生活污水经厂区污水管汇集后，经化粪池处理后排市政污水管网。</w:t>
      </w:r>
    </w:p>
    <w:p w14:paraId="063941A7">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本项目水平衡图见图3-3</w:t>
      </w:r>
    </w:p>
    <w:p w14:paraId="01ECD1AC">
      <w:pPr>
        <w:pStyle w:val="2"/>
        <w:ind w:left="0" w:leftChars="0" w:firstLine="0" w:firstLineChars="0"/>
        <w:rPr>
          <w:rFonts w:hint="default"/>
          <w:lang w:val="en-US" w:eastAsia="zh-CN"/>
        </w:rPr>
      </w:pPr>
      <w:r>
        <w:rPr>
          <w:rFonts w:hint="default" w:ascii="Times New Roman" w:hAnsi="Times New Roman" w:cs="Times New Roman" w:eastAsiaTheme="minorEastAsia"/>
          <w:lang w:eastAsia="zh-CN"/>
        </w:rPr>
        <w:drawing>
          <wp:inline distT="0" distB="0" distL="114300" distR="114300">
            <wp:extent cx="5391150" cy="6883400"/>
            <wp:effectExtent l="0" t="0" r="0" b="12700"/>
            <wp:docPr id="144" name="图片 144" descr="66c1891e6ddcf1ff40f5f7f028d0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66c1891e6ddcf1ff40f5f7f028d064d"/>
                    <pic:cNvPicPr>
                      <a:picLocks noChangeAspect="1"/>
                    </pic:cNvPicPr>
                  </pic:nvPicPr>
                  <pic:blipFill>
                    <a:blip r:embed="rId22"/>
                    <a:stretch>
                      <a:fillRect/>
                    </a:stretch>
                  </pic:blipFill>
                  <pic:spPr>
                    <a:xfrm>
                      <a:off x="0" y="0"/>
                      <a:ext cx="5391150" cy="6883400"/>
                    </a:xfrm>
                    <a:prstGeom prst="rect">
                      <a:avLst/>
                    </a:prstGeom>
                  </pic:spPr>
                </pic:pic>
              </a:graphicData>
            </a:graphic>
          </wp:inline>
        </w:drawing>
      </w:r>
    </w:p>
    <w:p w14:paraId="3CC0DE97">
      <w:pPr>
        <w:spacing w:line="360" w:lineRule="auto"/>
        <w:ind w:firstLine="480" w:firstLineChars="200"/>
        <w:rPr>
          <w:rFonts w:hint="eastAsia" w:ascii="Times New Roman" w:hAnsi="Times New Roman" w:eastAsia="宋体" w:cs="Times New Roman"/>
          <w:sz w:val="24"/>
          <w:lang w:val="en-US" w:eastAsia="zh-CN"/>
        </w:rPr>
      </w:pPr>
    </w:p>
    <w:p w14:paraId="3FBFFF80">
      <w:pPr>
        <w:pStyle w:val="50"/>
        <w:spacing w:line="360" w:lineRule="auto"/>
        <w:ind w:firstLine="0" w:firstLineChars="0"/>
        <w:jc w:val="center"/>
        <w:outlineLvl w:val="1"/>
        <w:rPr>
          <w:rFonts w:hint="default" w:ascii="Times New Roman" w:hAnsi="Times New Roman" w:eastAsia="宋体" w:cs="Times New Roman"/>
          <w:b/>
          <w:color w:val="000000" w:themeColor="text1"/>
          <w:sz w:val="28"/>
          <w:szCs w:val="32"/>
          <w:lang w:val="en-US" w:eastAsia="zh-CN"/>
          <w14:textFill>
            <w14:solidFill>
              <w14:schemeClr w14:val="tx1"/>
            </w14:solidFill>
          </w14:textFill>
        </w:rPr>
        <w:sectPr>
          <w:headerReference r:id="rId11" w:type="first"/>
          <w:footerReference r:id="rId13" w:type="first"/>
          <w:headerReference r:id="rId10" w:type="default"/>
          <w:footerReference r:id="rId12"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宋体" w:cs="Times New Roman"/>
          <w:b/>
          <w:color w:val="000000" w:themeColor="text1"/>
          <w:sz w:val="28"/>
          <w:szCs w:val="32"/>
          <w:lang w:val="en-US" w:eastAsia="zh-CN"/>
          <w14:textFill>
            <w14:solidFill>
              <w14:schemeClr w14:val="tx1"/>
            </w14:solidFill>
          </w14:textFill>
        </w:rPr>
        <w:t>图3-3项目水平衡图</w:t>
      </w:r>
    </w:p>
    <w:p w14:paraId="3C489FB5">
      <w:pPr>
        <w:pStyle w:val="50"/>
        <w:spacing w:line="360" w:lineRule="auto"/>
        <w:ind w:firstLine="0" w:firstLineChars="0"/>
        <w:jc w:val="left"/>
        <w:outlineLvl w:val="1"/>
        <w:rPr>
          <w:rFonts w:ascii="Times New Roman" w:hAnsi="Times New Roman" w:eastAsia="宋体" w:cs="Times New Roman"/>
          <w:b/>
          <w:color w:val="000000" w:themeColor="text1"/>
          <w:sz w:val="28"/>
          <w:szCs w:val="32"/>
          <w14:textFill>
            <w14:solidFill>
              <w14:schemeClr w14:val="tx1"/>
            </w14:solidFill>
          </w14:textFill>
        </w:rPr>
      </w:pPr>
      <w:bookmarkStart w:id="24" w:name="_Toc18267"/>
      <w:r>
        <w:rPr>
          <w:rFonts w:ascii="Times New Roman" w:hAnsi="Times New Roman" w:eastAsia="宋体" w:cs="Times New Roman"/>
          <w:b/>
          <w:color w:val="000000" w:themeColor="text1"/>
          <w:sz w:val="28"/>
          <w:szCs w:val="32"/>
          <w14:textFill>
            <w14:solidFill>
              <w14:schemeClr w14:val="tx1"/>
            </w14:solidFill>
          </w14:textFill>
        </w:rPr>
        <w:t>3.5生产工艺</w:t>
      </w:r>
      <w:bookmarkEnd w:id="24"/>
    </w:p>
    <w:p w14:paraId="0D750D96">
      <w:pPr>
        <w:tabs>
          <w:tab w:val="left" w:pos="7528"/>
        </w:tabs>
        <w:spacing w:line="360" w:lineRule="auto"/>
      </w:pPr>
      <w:bookmarkStart w:id="25" w:name="_Toc497001470"/>
      <w:r>
        <w:rPr>
          <w:rFonts w:ascii="Times New Roman" w:hAnsi="Times New Roman" w:eastAsia="宋体" w:cs="Times New Roman"/>
          <w:sz w:val="24"/>
          <w:szCs w:val="20"/>
        </w:rPr>
        <w:t>该项目营运期</w:t>
      </w:r>
      <w:r>
        <w:rPr>
          <w:rFonts w:hint="eastAsia" w:ascii="Times New Roman" w:hAnsi="Times New Roman" w:eastAsia="宋体" w:cs="Times New Roman"/>
          <w:sz w:val="24"/>
          <w:szCs w:val="20"/>
          <w:lang w:val="en-US" w:eastAsia="zh-CN"/>
        </w:rPr>
        <w:t>生产</w:t>
      </w:r>
      <w:r>
        <w:rPr>
          <w:rFonts w:ascii="Times New Roman" w:hAnsi="Times New Roman" w:eastAsia="宋体" w:cs="Times New Roman"/>
          <w:sz w:val="24"/>
          <w:szCs w:val="20"/>
        </w:rPr>
        <w:t xml:space="preserve">工艺流程如图3： </w:t>
      </w:r>
    </w:p>
    <w:p w14:paraId="4BC66B38">
      <w:pPr>
        <w:pStyle w:val="13"/>
        <w:jc w:val="both"/>
        <w:rPr>
          <w:rFonts w:ascii="Times New Roman" w:hAnsi="Times New Roman" w:cs="Times New Roman"/>
          <w:sz w:val="24"/>
        </w:rPr>
      </w:pPr>
      <w:r>
        <w:rPr>
          <w:rFonts w:hint="default" w:ascii="Times New Roman" w:hAnsi="Times New Roman" w:cs="Times New Roman"/>
          <w:sz w:val="24"/>
          <w:lang w:val="en-US" w:eastAsia="zh-CN"/>
        </w:rPr>
        <w:drawing>
          <wp:inline distT="0" distB="0" distL="114300" distR="114300">
            <wp:extent cx="5720080" cy="6438900"/>
            <wp:effectExtent l="0" t="0" r="13970" b="0"/>
            <wp:docPr id="147" name="图片 147" descr="100566e31d6de111b2bc07cf5b65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00566e31d6de111b2bc07cf5b659d6"/>
                    <pic:cNvPicPr>
                      <a:picLocks noChangeAspect="1"/>
                    </pic:cNvPicPr>
                  </pic:nvPicPr>
                  <pic:blipFill>
                    <a:blip r:embed="rId23"/>
                    <a:stretch>
                      <a:fillRect/>
                    </a:stretch>
                  </pic:blipFill>
                  <pic:spPr>
                    <a:xfrm>
                      <a:off x="0" y="0"/>
                      <a:ext cx="5720080" cy="6438900"/>
                    </a:xfrm>
                    <a:prstGeom prst="rect">
                      <a:avLst/>
                    </a:prstGeom>
                  </pic:spPr>
                </pic:pic>
              </a:graphicData>
            </a:graphic>
          </wp:inline>
        </w:drawing>
      </w:r>
    </w:p>
    <w:p w14:paraId="2FC9D3D7">
      <w:pPr>
        <w:pStyle w:val="13"/>
        <w:jc w:val="center"/>
        <w:rPr>
          <w:rFonts w:ascii="Times New Roman" w:hAnsi="Times New Roman" w:cs="Times New Roman"/>
          <w:sz w:val="24"/>
        </w:rPr>
      </w:pPr>
    </w:p>
    <w:p w14:paraId="3A0255CD">
      <w:pPr>
        <w:pStyle w:val="13"/>
        <w:jc w:val="both"/>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1445260</wp:posOffset>
                </wp:positionH>
                <wp:positionV relativeFrom="paragraph">
                  <wp:posOffset>218440</wp:posOffset>
                </wp:positionV>
                <wp:extent cx="2676525" cy="438150"/>
                <wp:effectExtent l="4445" t="4445" r="5080" b="14605"/>
                <wp:wrapNone/>
                <wp:docPr id="27" name="文本框 2902"/>
                <wp:cNvGraphicFramePr/>
                <a:graphic xmlns:a="http://schemas.openxmlformats.org/drawingml/2006/main">
                  <a:graphicData uri="http://schemas.microsoft.com/office/word/2010/wordprocessingShape">
                    <wps:wsp>
                      <wps:cNvSpPr txBox="1"/>
                      <wps:spPr>
                        <a:xfrm>
                          <a:off x="0" y="0"/>
                          <a:ext cx="2676525" cy="4381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C713403">
                            <w:pPr>
                              <w:pStyle w:val="50"/>
                              <w:spacing w:line="360" w:lineRule="auto"/>
                              <w:ind w:firstLine="0" w:firstLineChars="0"/>
                              <w:jc w:val="center"/>
                              <w:outlineLvl w:val="1"/>
                              <w:rPr>
                                <w:rFonts w:hint="default" w:ascii="Times New Roman" w:hAnsi="Times New Roman" w:eastAsia="宋体" w:cs="Times New Roman"/>
                                <w:b/>
                                <w:color w:val="000000" w:themeColor="text1"/>
                                <w:sz w:val="28"/>
                                <w:szCs w:val="32"/>
                                <w:lang w:val="en-US" w:eastAsia="zh-CN"/>
                                <w14:textFill>
                                  <w14:solidFill>
                                    <w14:schemeClr w14:val="tx1"/>
                                  </w14:solidFill>
                                </w14:textFill>
                              </w:rPr>
                            </w:pP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图</w:t>
                            </w:r>
                            <w:r>
                              <w:rPr>
                                <w:rFonts w:hint="default" w:ascii="Times New Roman" w:hAnsi="Times New Roman" w:eastAsia="宋体" w:cs="Times New Roman"/>
                                <w:b/>
                                <w:color w:val="000000" w:themeColor="text1"/>
                                <w:sz w:val="28"/>
                                <w:szCs w:val="32"/>
                                <w:lang w:val="en-US" w:eastAsia="zh-CN"/>
                                <w14:textFill>
                                  <w14:solidFill>
                                    <w14:schemeClr w14:val="tx1"/>
                                  </w14:solidFill>
                                </w14:textFill>
                              </w:rPr>
                              <w:t>3</w:t>
                            </w: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-4 生产工艺流程图</w:t>
                            </w:r>
                          </w:p>
                        </w:txbxContent>
                      </wps:txbx>
                      <wps:bodyPr upright="1"/>
                    </wps:wsp>
                  </a:graphicData>
                </a:graphic>
              </wp:anchor>
            </w:drawing>
          </mc:Choice>
          <mc:Fallback>
            <w:pict>
              <v:shape id="文本框 2902" o:spid="_x0000_s1026" o:spt="202" type="#_x0000_t202" style="position:absolute;left:0pt;margin-left:113.8pt;margin-top:17.2pt;height:34.5pt;width:210.75pt;z-index:251663360;mso-width-relative:page;mso-height-relative:page;" fillcolor="#FFFFFF" filled="t" stroked="t" coordsize="21600,21600" o:gfxdata="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WvecLYAAAACgEAAA8AAAAAAAAAAQAgAAAA&#10;IgAAAGRycy9kb3ducmV2LnhtbFBLAQIUABQAAAAIAIdO4kBcAMYICwIAADoEAAAOAAAAAAAAAAEA&#10;IAAAACcBAABkcnMvZTJvRG9jLnhtbFBLBQYAAAAABgAGAFkBAACkBQAAAAA=&#10;">
                <v:fill on="t" focussize="0,0"/>
                <v:stroke color="#FFFFFF" joinstyle="miter"/>
                <v:imagedata o:title=""/>
                <o:lock v:ext="edit" aspectratio="f"/>
                <v:textbox>
                  <w:txbxContent>
                    <w:p w14:paraId="3C713403">
                      <w:pPr>
                        <w:pStyle w:val="50"/>
                        <w:spacing w:line="360" w:lineRule="auto"/>
                        <w:ind w:firstLine="0" w:firstLineChars="0"/>
                        <w:jc w:val="center"/>
                        <w:outlineLvl w:val="1"/>
                        <w:rPr>
                          <w:rFonts w:hint="default" w:ascii="Times New Roman" w:hAnsi="Times New Roman" w:eastAsia="宋体" w:cs="Times New Roman"/>
                          <w:b/>
                          <w:color w:val="000000" w:themeColor="text1"/>
                          <w:sz w:val="28"/>
                          <w:szCs w:val="32"/>
                          <w:lang w:val="en-US" w:eastAsia="zh-CN"/>
                          <w14:textFill>
                            <w14:solidFill>
                              <w14:schemeClr w14:val="tx1"/>
                            </w14:solidFill>
                          </w14:textFill>
                        </w:rPr>
                      </w:pP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图</w:t>
                      </w:r>
                      <w:r>
                        <w:rPr>
                          <w:rFonts w:hint="default" w:ascii="Times New Roman" w:hAnsi="Times New Roman" w:eastAsia="宋体" w:cs="Times New Roman"/>
                          <w:b/>
                          <w:color w:val="000000" w:themeColor="text1"/>
                          <w:sz w:val="28"/>
                          <w:szCs w:val="32"/>
                          <w:lang w:val="en-US" w:eastAsia="zh-CN"/>
                          <w14:textFill>
                            <w14:solidFill>
                              <w14:schemeClr w14:val="tx1"/>
                            </w14:solidFill>
                          </w14:textFill>
                        </w:rPr>
                        <w:t>3</w:t>
                      </w: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-4 生产工艺流程图</w:t>
                      </w:r>
                    </w:p>
                  </w:txbxContent>
                </v:textbox>
              </v:shape>
            </w:pict>
          </mc:Fallback>
        </mc:AlternateContent>
      </w:r>
    </w:p>
    <w:p w14:paraId="7C3ED4C0">
      <w:pPr>
        <w:pStyle w:val="13"/>
        <w:jc w:val="center"/>
        <w:rPr>
          <w:rFonts w:ascii="Times New Roman" w:hAnsi="Times New Roman" w:cs="Times New Roman"/>
          <w:sz w:val="24"/>
        </w:rPr>
      </w:pPr>
    </w:p>
    <w:p w14:paraId="0F61A2C2">
      <w:pPr>
        <w:pStyle w:val="13"/>
        <w:jc w:val="center"/>
        <w:rPr>
          <w:rFonts w:ascii="Times New Roman" w:hAnsi="Times New Roman" w:cs="Times New Roman"/>
          <w:sz w:val="24"/>
        </w:rPr>
      </w:pPr>
    </w:p>
    <w:p w14:paraId="7122B1E2">
      <w:pPr>
        <w:pStyle w:val="13"/>
        <w:jc w:val="center"/>
        <w:rPr>
          <w:rFonts w:ascii="Times New Roman" w:hAnsi="Times New Roman" w:cs="Times New Roman"/>
          <w:sz w:val="24"/>
        </w:rPr>
      </w:pPr>
    </w:p>
    <w:p w14:paraId="4448ABBD">
      <w:pPr>
        <w:pStyle w:val="13"/>
        <w:jc w:val="center"/>
        <w:rPr>
          <w:rFonts w:ascii="Times New Roman" w:hAnsi="Times New Roman" w:cs="Times New Roman"/>
          <w:sz w:val="24"/>
        </w:rPr>
      </w:pPr>
    </w:p>
    <w:p w14:paraId="00BD1B0C">
      <w:pPr>
        <w:pStyle w:val="13"/>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5408" behindDoc="0" locked="0" layoutInCell="1" allowOverlap="1">
                <wp:simplePos x="0" y="0"/>
                <wp:positionH relativeFrom="character">
                  <wp:posOffset>2148840</wp:posOffset>
                </wp:positionH>
                <wp:positionV relativeFrom="line">
                  <wp:posOffset>6424295</wp:posOffset>
                </wp:positionV>
                <wp:extent cx="347980" cy="110490"/>
                <wp:effectExtent l="0" t="0" r="0" b="0"/>
                <wp:wrapNone/>
                <wp:docPr id="32" name="文本框 316"/>
                <wp:cNvGraphicFramePr/>
                <a:graphic xmlns:a="http://schemas.openxmlformats.org/drawingml/2006/main">
                  <a:graphicData uri="http://schemas.microsoft.com/office/word/2010/wordprocessingShape">
                    <wps:wsp>
                      <wps:cNvSpPr txBox="1"/>
                      <wps:spPr>
                        <a:xfrm>
                          <a:off x="0" y="0"/>
                          <a:ext cx="347980" cy="110490"/>
                        </a:xfrm>
                        <a:prstGeom prst="rect">
                          <a:avLst/>
                        </a:prstGeom>
                        <a:noFill/>
                        <a:ln w="6350">
                          <a:noFill/>
                        </a:ln>
                      </wps:spPr>
                      <wps:txbx>
                        <w:txbxContent>
                          <w:p w14:paraId="4BDF6260">
                            <w:pPr>
                              <w:jc w:val="left"/>
                              <w:rPr>
                                <w:rFonts w:hint="eastAsia"/>
                              </w:rPr>
                            </w:pPr>
                          </w:p>
                        </w:txbxContent>
                      </wps:txbx>
                      <wps:bodyPr lIns="18000" tIns="10800" rIns="18000" bIns="10800" upright="1"/>
                    </wps:wsp>
                  </a:graphicData>
                </a:graphic>
              </wp:anchor>
            </w:drawing>
          </mc:Choice>
          <mc:Fallback>
            <w:pict>
              <v:shape id="文本框 316" o:spid="_x0000_s1026" o:spt="202" type="#_x0000_t202" style="position:absolute;left:0pt;margin-left:169.2pt;margin-top:505.85pt;height:8.7pt;width:27.4pt;mso-position-horizontal-relative:char;mso-position-vertical-relative:line;z-index:251665408;mso-width-relative:page;mso-height-relative:page;" filled="f" stroked="f" coordsize="21600,21600" o:gfxdata="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G6C0fcAAAADQEAAA8AAAAAAAAAAQAgAAAA&#10;IgAAAGRycy9kb3ducmV2LnhtbFBLAQIUABQAAAAIAIdO4kAVTcUwzgEAAI0DAAAOAAAAAAAAAAEA&#10;IAAAACsBAABkcnMvZTJvRG9jLnhtbFBLBQYAAAAABgAGAFkBAABrBQAAAAA=&#10;">
                <v:fill on="f" focussize="0,0"/>
                <v:stroke on="f" weight="0.5pt"/>
                <v:imagedata o:title=""/>
                <o:lock v:ext="edit" aspectratio="f"/>
                <v:textbox inset="0.5mm,0.3mm,0.5mm,0.3mm">
                  <w:txbxContent>
                    <w:p w14:paraId="4BDF6260">
                      <w:pPr>
                        <w:jc w:val="left"/>
                        <w:rPr>
                          <w:rFonts w:hint="eastAsia"/>
                        </w:rPr>
                      </w:pPr>
                    </w:p>
                  </w:txbxContent>
                </v:textbox>
              </v:shape>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4384" behindDoc="0" locked="0" layoutInCell="1" allowOverlap="1">
                <wp:simplePos x="0" y="0"/>
                <wp:positionH relativeFrom="character">
                  <wp:posOffset>10104755</wp:posOffset>
                </wp:positionH>
                <wp:positionV relativeFrom="line">
                  <wp:posOffset>3857625</wp:posOffset>
                </wp:positionV>
                <wp:extent cx="443230" cy="224790"/>
                <wp:effectExtent l="0" t="0" r="0" b="0"/>
                <wp:wrapNone/>
                <wp:docPr id="31" name="文本框 244"/>
                <wp:cNvGraphicFramePr/>
                <a:graphic xmlns:a="http://schemas.openxmlformats.org/drawingml/2006/main">
                  <a:graphicData uri="http://schemas.microsoft.com/office/word/2010/wordprocessingShape">
                    <wps:wsp>
                      <wps:cNvSpPr txBox="1"/>
                      <wps:spPr>
                        <a:xfrm>
                          <a:off x="0" y="0"/>
                          <a:ext cx="443230" cy="224790"/>
                        </a:xfrm>
                        <a:prstGeom prst="rect">
                          <a:avLst/>
                        </a:prstGeom>
                        <a:noFill/>
                        <a:ln w="6350">
                          <a:noFill/>
                        </a:ln>
                      </wps:spPr>
                      <wps:txbx>
                        <w:txbxContent>
                          <w:p w14:paraId="3B4D9C42">
                            <w:pPr>
                              <w:jc w:val="both"/>
                              <w:rPr>
                                <w:rFonts w:hint="eastAsia"/>
                              </w:rPr>
                            </w:pPr>
                          </w:p>
                        </w:txbxContent>
                      </wps:txbx>
                      <wps:bodyPr lIns="18000" tIns="10800" rIns="18000" bIns="10800" upright="1"/>
                    </wps:wsp>
                  </a:graphicData>
                </a:graphic>
              </wp:anchor>
            </w:drawing>
          </mc:Choice>
          <mc:Fallback>
            <w:pict>
              <v:shape id="文本框 244" o:spid="_x0000_s1026" o:spt="202" type="#_x0000_t202" style="position:absolute;left:0pt;margin-left:795.65pt;margin-top:303.75pt;height:17.7pt;width:34.9pt;mso-position-horizontal-relative:char;mso-position-vertical-relative:line;z-index:251664384;mso-width-relative:page;mso-height-relative:page;" filled="f" stroked="f" coordsize="21600,21600" o:gfxdata="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o4TZ3QAAAA0BAAAPAAAAAAAAAAEAIAAA&#10;ACIAAABkcnMvZG93bnJldi54bWxQSwECFAAUAAAACACHTuJAYaJUfs4BAACNAwAADgAAAAAAAAAB&#10;ACAAAAAsAQAAZHJzL2Uyb0RvYy54bWxQSwUGAAAAAAYABgBZAQAAbAUAAAAA&#10;">
                <v:fill on="f" focussize="0,0"/>
                <v:stroke on="f" weight="0.5pt"/>
                <v:imagedata o:title=""/>
                <o:lock v:ext="edit" aspectratio="f"/>
                <v:textbox inset="0.5mm,0.3mm,0.5mm,0.3mm">
                  <w:txbxContent>
                    <w:p w14:paraId="3B4D9C42">
                      <w:pPr>
                        <w:jc w:val="both"/>
                        <w:rPr>
                          <w:rFonts w:hint="eastAsia"/>
                        </w:rPr>
                      </w:pPr>
                    </w:p>
                  </w:txbxContent>
                </v:textbox>
              </v:shape>
            </w:pict>
          </mc:Fallback>
        </mc:AlternateContent>
      </w:r>
    </w:p>
    <w:p w14:paraId="5407AC9E">
      <w:pPr>
        <w:keepNext w:val="0"/>
        <w:keepLines w:val="0"/>
        <w:pageBreakBefore w:val="0"/>
        <w:tabs>
          <w:tab w:val="center" w:pos="360"/>
          <w:tab w:val="center" w:pos="540"/>
          <w:tab w:val="left" w:pos="720"/>
        </w:tabs>
        <w:kinsoku/>
        <w:wordWrap/>
        <w:overflowPunct/>
        <w:topLinePunct w:val="0"/>
        <w:autoSpaceDE/>
        <w:autoSpaceDN/>
        <w:bidi w:val="0"/>
        <w:adjustRightInd/>
        <w:spacing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工艺流程说明：</w:t>
      </w:r>
    </w:p>
    <w:p w14:paraId="7B4B4AE2">
      <w:pPr>
        <w:keepNext w:val="0"/>
        <w:keepLines w:val="0"/>
        <w:pageBreakBefore w:val="0"/>
        <w:widowControl w:val="0"/>
        <w:tabs>
          <w:tab w:val="left" w:pos="16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bookmarkStart w:id="26" w:name="_Toc2679"/>
      <w:r>
        <w:rPr>
          <w:rFonts w:hint="default" w:ascii="Times New Roman" w:hAnsi="Times New Roman" w:eastAsia="宋体" w:cs="Times New Roman"/>
          <w:color w:val="000000"/>
          <w:sz w:val="24"/>
          <w:szCs w:val="24"/>
        </w:rPr>
        <w:t xml:space="preserve">工艺流程简述： </w:t>
      </w:r>
    </w:p>
    <w:p w14:paraId="656AD710">
      <w:pPr>
        <w:pageBreakBefore w:val="0"/>
        <w:widowControl w:val="0"/>
        <w:numPr>
          <w:ilvl w:val="0"/>
          <w:numId w:val="3"/>
        </w:numPr>
        <w:kinsoku/>
        <w:wordWrap/>
        <w:overflowPunct/>
        <w:topLinePunct w:val="0"/>
        <w:bidi w:val="0"/>
        <w:snapToGrid/>
        <w:spacing w:line="360" w:lineRule="auto"/>
        <w:ind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食品添加剂冰醋酸生产车间 </w:t>
      </w:r>
    </w:p>
    <w:p w14:paraId="307482E1">
      <w:pPr>
        <w:pageBreakBefore w:val="0"/>
        <w:widowControl w:val="0"/>
        <w:numPr>
          <w:ilvl w:val="0"/>
          <w:numId w:val="4"/>
        </w:numPr>
        <w:kinsoku/>
        <w:wordWrap/>
        <w:overflowPunct/>
        <w:topLinePunct w:val="0"/>
        <w:bidi w:val="0"/>
        <w:snapToGrid/>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本项目先采用T型过滤+增压过滤+精细过滤+反渗透过滤。过滤装置为全部封闭不锈钢罐体和管道，有呼吸阀控制，收集的气体通过碱喷淋塔+活 性炭吸附装置后，通过15m高排气筒排放。 ①T型过滤：T型过滤器一组2个，型号为NF-10型，Φ400*600；T型过 滤采用不锈钢过滤网（≥500目）主要用于防止液体以外的杂质流入设备；此过程会产生挥发废气以及残渣。 ②增压过滤：增压过滤器一组2个，NF-10型，Φ800*2000。增压过滤器工艺流程和产排污环节主要用泵打的方式注入到精细过滤设备中，采用不锈钢过滤网（≥500目）进一步防止杂质进入泵管道。将过滤机置于1个密封的加压仓中，加压仓内充有一定压力的压缩空气，待过滤的悬浮液由入料泵给入过滤机的槽体中，在滤盘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通过分配阀与通大气的汽水分离器形成压差，滤液通过浸入悬浮液中的过滤介质排出，而固体颗料被收集到过滤盘上形成滤饼，属于固废残渣。此过程会产生挥发废气以及残渣。③精细过滤：精细过滤器一组2个，型号为NF-10型，Φ1000*2500；精细过滤采用以刚玉砂、碳化硅、堇青石为原料的多孔陶瓷，具有耐高温、高压、抗酸、碱以及良好的生物惰性，可再生循环利用过滤乙酸溶液中的重金属杂质，提高纯度。此过程会产生废气以及粘附废酸的过滤介质，主要成分为刚玉砂、碳化硅、堇青石为原料的多孔陶瓷。④反渗透过滤：反渗透是一种借助于选择透过（半透过）性膜的功能以压力为推动力的膜分离技术，高位落差工作时的工作压力为0.08MPa，产能：每15小时2~3立方。增压工作时的工作压力为0.35MPa，产能8~10立方。反渗透过滤采用醋酸纤维膜进行过滤，主要为了过滤去除原料中的重金属等物质。过滤过程会产生废气及废过滤膜</w:t>
      </w:r>
      <w:r>
        <w:rPr>
          <w:rFonts w:hint="default" w:ascii="Times New Roman" w:hAnsi="Times New Roman" w:eastAsia="宋体" w:cs="Times New Roman"/>
          <w:sz w:val="24"/>
          <w:szCs w:val="24"/>
          <w:lang w:eastAsia="zh-CN"/>
        </w:rPr>
        <w:t>。</w:t>
      </w:r>
    </w:p>
    <w:p w14:paraId="2D3472F5">
      <w:pPr>
        <w:pageBreakBefore w:val="0"/>
        <w:widowControl w:val="0"/>
        <w:numPr>
          <w:ilvl w:val="0"/>
          <w:numId w:val="4"/>
        </w:numPr>
        <w:kinsoku/>
        <w:wordWrap/>
        <w:overflowPunct/>
        <w:topLinePunct w:val="0"/>
        <w:bidi w:val="0"/>
        <w:snapToGrid/>
        <w:spacing w:line="360" w:lineRule="auto"/>
        <w:ind w:left="0" w:leftChars="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精馏冷凝精馏主要用于去除过滤不能去除达标的甲醇等有机杂质。在精馏设备中加热介质为低压蒸汽，蒸汽来源为园区蒸汽管道供应。介质用量750kg/h,冷却介质为常温水，介质用量60m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低压蒸汽出口压力0.4-0.6MPaG,常温水供回水分别温度为32℃和37℃，塔底温度118℃，塔顶温度108℃。不凝气进入二次冷凝器冷凝，冷凝液自流进入收集器，后进行成品灌装等包装。此过程会产生废气以及危险废物精馏残液。</w:t>
      </w:r>
      <w:r>
        <w:rPr>
          <w:rFonts w:hint="eastAsia" w:ascii="Times New Roman" w:hAnsi="Times New Roman" w:eastAsia="宋体" w:cs="Times New Roman"/>
          <w:sz w:val="24"/>
          <w:szCs w:val="24"/>
          <w:lang w:val="en-US" w:eastAsia="zh-CN"/>
        </w:rPr>
        <w:t xml:space="preserve">          </w:t>
      </w:r>
    </w:p>
    <w:p w14:paraId="1F6496BB">
      <w:pPr>
        <w:pageBreakBefore w:val="0"/>
        <w:widowControl w:val="0"/>
        <w:numPr>
          <w:ilvl w:val="0"/>
          <w:numId w:val="0"/>
        </w:numPr>
        <w:kinsoku/>
        <w:wordWrap/>
        <w:overflowPunct/>
        <w:topLinePunct w:val="0"/>
        <w:bidi w:val="0"/>
        <w:snapToGrid/>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 xml:space="preserve">灌装：将分离纯化得到的成品乙酸进行分装到塑料包装桶中，此过程会产生挥发废气，灌装过程有集气罩可以对废气进行收集。拟建项目间歇式分批次生产，一个生产周期为36h，一年周转约200次。 </w:t>
      </w:r>
    </w:p>
    <w:p w14:paraId="67E5180D">
      <w:pPr>
        <w:pStyle w:val="84"/>
        <w:numPr>
          <w:ilvl w:val="0"/>
          <w:numId w:val="3"/>
        </w:numPr>
        <w:spacing w:line="360" w:lineRule="auto"/>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塑料包装生产车间</w:t>
      </w:r>
    </w:p>
    <w:p w14:paraId="7693ACE3">
      <w:pPr>
        <w:spacing w:line="360" w:lineRule="auto"/>
        <w:ind w:firstLine="720" w:firstLineChars="300"/>
        <w:rPr>
          <w:rFonts w:hint="default" w:ascii="Times New Roman" w:hAnsi="Times New Roman" w:cs="Times New Roman"/>
          <w:b/>
          <w:bCs/>
          <w:color w:val="000000"/>
          <w:sz w:val="24"/>
          <w:lang w:val="en-US" w:eastAsia="zh-CN"/>
        </w:rPr>
      </w:pPr>
      <w:r>
        <w:rPr>
          <w:rFonts w:hint="default" w:ascii="Times New Roman" w:hAnsi="Times New Roman" w:eastAsia="宋体" w:cs="Times New Roman"/>
          <w:sz w:val="24"/>
          <w:szCs w:val="24"/>
        </w:rPr>
        <w:t>将外购原料（PE）放入灌装机的模具中，使用电加热对瓶胚加热，加热温度约为150～160℃，产出一个成桶时间包括融化，成型，冷却一共50s，经设备吹瓶拉伸后自然冷却成型即为冰醋酸包装瓶，准备进行灌装。本项目吹塑工序会产生噪音与少量的有机废气。废气主要成分为VOCs， 经过活性炭吸附后通过15m排气筒排出。生产过程产生的边角料、不合格产品经过破碎机破碎后作为原料回用于生产，项目破碎后的产品为片状，因此破碎过程无粉尘的产生。</w:t>
      </w:r>
    </w:p>
    <w:p w14:paraId="4F4FDDBB">
      <w:pPr>
        <w:pageBreakBefore w:val="0"/>
        <w:widowControl w:val="0"/>
        <w:numPr>
          <w:ilvl w:val="0"/>
          <w:numId w:val="0"/>
        </w:numPr>
        <w:kinsoku/>
        <w:wordWrap/>
        <w:overflowPunct/>
        <w:topLinePunct w:val="0"/>
        <w:bidi w:val="0"/>
        <w:snapToGrid/>
        <w:spacing w:line="360" w:lineRule="auto"/>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本项目污染物产污环节一览表</w:t>
      </w:r>
    </w:p>
    <w:p w14:paraId="3F921968">
      <w:pPr>
        <w:pageBreakBefore w:val="0"/>
        <w:widowControl w:val="0"/>
        <w:numPr>
          <w:ilvl w:val="0"/>
          <w:numId w:val="0"/>
        </w:numPr>
        <w:kinsoku/>
        <w:wordWrap/>
        <w:overflowPunct/>
        <w:topLinePunct w:val="0"/>
        <w:bidi w:val="0"/>
        <w:snapToGrid/>
        <w:spacing w:line="360" w:lineRule="auto"/>
        <w:ind w:leftChars="0"/>
        <w:jc w:val="center"/>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表</w:t>
      </w:r>
      <w:r>
        <w:rPr>
          <w:rFonts w:hint="eastAsia" w:ascii="Times New Roman" w:hAnsi="Times New Roman" w:cs="Times New Roman"/>
          <w:b/>
          <w:bCs/>
          <w:color w:val="000000"/>
          <w:sz w:val="24"/>
          <w:lang w:val="en-US" w:eastAsia="zh-CN"/>
        </w:rPr>
        <w:t>3</w:t>
      </w:r>
      <w:r>
        <w:rPr>
          <w:rFonts w:hint="default" w:ascii="Times New Roman" w:hAnsi="Times New Roman" w:cs="Times New Roman"/>
          <w:b/>
          <w:bCs/>
          <w:color w:val="000000"/>
          <w:sz w:val="24"/>
          <w:lang w:val="en-US" w:eastAsia="zh-CN"/>
        </w:rPr>
        <w:t>-</w:t>
      </w:r>
      <w:r>
        <w:rPr>
          <w:rFonts w:hint="eastAsia" w:ascii="Times New Roman" w:hAnsi="Times New Roman" w:cs="Times New Roman"/>
          <w:b/>
          <w:bCs/>
          <w:color w:val="000000"/>
          <w:sz w:val="24"/>
          <w:lang w:val="en-US" w:eastAsia="zh-CN"/>
        </w:rPr>
        <w:t>6</w:t>
      </w:r>
      <w:r>
        <w:rPr>
          <w:rFonts w:hint="default" w:ascii="Times New Roman" w:hAnsi="Times New Roman" w:cs="Times New Roman"/>
          <w:b/>
          <w:bCs/>
          <w:color w:val="000000"/>
          <w:sz w:val="24"/>
          <w:lang w:val="en-US" w:eastAsia="zh-CN"/>
        </w:rPr>
        <w:t>项目污染物产污环节一览表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790"/>
        <w:gridCol w:w="1727"/>
        <w:gridCol w:w="3593"/>
      </w:tblGrid>
      <w:tr w14:paraId="4512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30" w:type="pct"/>
            <w:noWrap w:val="0"/>
            <w:vAlign w:val="center"/>
          </w:tcPr>
          <w:p w14:paraId="44BE3C03">
            <w:pPr>
              <w:pStyle w:val="84"/>
              <w:keepNext w:val="0"/>
              <w:keepLines w:val="0"/>
              <w:pageBreakBefore w:val="0"/>
              <w:widowControl w:val="0"/>
              <w:suppressLineNumbers w:val="0"/>
              <w:kinsoku/>
              <w:wordWrap/>
              <w:overflowPunct/>
              <w:topLinePunct w:val="0"/>
              <w:bidi w:val="0"/>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环境要素</w:t>
            </w:r>
          </w:p>
        </w:tc>
        <w:tc>
          <w:tcPr>
            <w:tcW w:w="1503" w:type="pct"/>
            <w:noWrap w:val="0"/>
            <w:vAlign w:val="center"/>
          </w:tcPr>
          <w:p w14:paraId="370ACF8B">
            <w:pPr>
              <w:pStyle w:val="84"/>
              <w:keepNext w:val="0"/>
              <w:keepLines w:val="0"/>
              <w:pageBreakBefore w:val="0"/>
              <w:widowControl w:val="0"/>
              <w:suppressLineNumbers w:val="0"/>
              <w:kinsoku/>
              <w:wordWrap/>
              <w:overflowPunct/>
              <w:topLinePunct w:val="0"/>
              <w:bidi w:val="0"/>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930" w:type="pct"/>
            <w:noWrap w:val="0"/>
            <w:vAlign w:val="center"/>
          </w:tcPr>
          <w:p w14:paraId="5CCC387B">
            <w:pPr>
              <w:pStyle w:val="84"/>
              <w:keepNext w:val="0"/>
              <w:keepLines w:val="0"/>
              <w:pageBreakBefore w:val="0"/>
              <w:widowControl w:val="0"/>
              <w:suppressLineNumbers w:val="0"/>
              <w:kinsoku/>
              <w:wordWrap/>
              <w:overflowPunct/>
              <w:topLinePunct w:val="0"/>
              <w:bidi w:val="0"/>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1935" w:type="pct"/>
            <w:noWrap w:val="0"/>
            <w:vAlign w:val="center"/>
          </w:tcPr>
          <w:p w14:paraId="5CA3A6C0">
            <w:pPr>
              <w:pStyle w:val="84"/>
              <w:keepNext w:val="0"/>
              <w:keepLines w:val="0"/>
              <w:pageBreakBefore w:val="0"/>
              <w:widowControl w:val="0"/>
              <w:suppressLineNumbers w:val="0"/>
              <w:kinsoku/>
              <w:wordWrap/>
              <w:overflowPunct/>
              <w:topLinePunct w:val="0"/>
              <w:bidi w:val="0"/>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措施</w:t>
            </w:r>
          </w:p>
        </w:tc>
      </w:tr>
      <w:tr w14:paraId="48B5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30" w:type="pct"/>
            <w:vMerge w:val="restart"/>
            <w:noWrap w:val="0"/>
            <w:vAlign w:val="center"/>
          </w:tcPr>
          <w:p w14:paraId="5CAF52B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p w14:paraId="4AEDBA5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default" w:ascii="Times New Roman" w:hAnsi="Times New Roman" w:eastAsia="宋体" w:cs="Times New Roman"/>
                <w:color w:val="auto"/>
                <w:sz w:val="21"/>
                <w:szCs w:val="21"/>
                <w:highlight w:val="none"/>
                <w:vertAlign w:val="baseline"/>
                <w:lang w:val="en-US" w:eastAsia="zh-CN"/>
              </w:rPr>
            </w:pPr>
          </w:p>
          <w:p w14:paraId="4D4FAB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大气环境</w:t>
            </w:r>
          </w:p>
          <w:p w14:paraId="789F572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p w14:paraId="33A1EE2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002B74A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Chars="0" w:right="0" w:firstLine="630" w:firstLineChars="3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p w14:paraId="776764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Chars="0" w:right="0" w:firstLine="210" w:firstLineChars="1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（塑料生产车间 P1）</w:t>
            </w:r>
          </w:p>
        </w:tc>
        <w:tc>
          <w:tcPr>
            <w:tcW w:w="930" w:type="pct"/>
            <w:vMerge w:val="restart"/>
            <w:noWrap w:val="0"/>
            <w:vAlign w:val="center"/>
          </w:tcPr>
          <w:p w14:paraId="6CE78F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VOCs</w:t>
            </w:r>
          </w:p>
        </w:tc>
        <w:tc>
          <w:tcPr>
            <w:tcW w:w="1935" w:type="pct"/>
            <w:noWrap w:val="0"/>
            <w:vAlign w:val="center"/>
          </w:tcPr>
          <w:p w14:paraId="4F5B5D9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通过一组二级活性炭吸附处理后通过塑料包装生产车间外的15m排气筒（P1）排放，</w:t>
            </w:r>
          </w:p>
        </w:tc>
      </w:tr>
      <w:tr w14:paraId="450A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30" w:type="pct"/>
            <w:vMerge w:val="continue"/>
            <w:noWrap w:val="0"/>
            <w:vAlign w:val="center"/>
          </w:tcPr>
          <w:p w14:paraId="0C0778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4434BE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p w14:paraId="6448CA2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（醋酸生产车间 P2）</w:t>
            </w:r>
          </w:p>
        </w:tc>
        <w:tc>
          <w:tcPr>
            <w:tcW w:w="930" w:type="pct"/>
            <w:vMerge w:val="continue"/>
            <w:noWrap w:val="0"/>
            <w:vAlign w:val="center"/>
          </w:tcPr>
          <w:p w14:paraId="27BC8E2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35" w:type="pct"/>
            <w:noWrap w:val="0"/>
            <w:vAlign w:val="center"/>
          </w:tcPr>
          <w:p w14:paraId="4C63C1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经过管道通过碱喷淋+活性炭吸附进行吸附去除，之后通过醋酸生产车间外的15m高排气筒（P2）排放</w:t>
            </w:r>
          </w:p>
        </w:tc>
      </w:tr>
      <w:tr w14:paraId="7623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30" w:type="pct"/>
            <w:vMerge w:val="continue"/>
            <w:noWrap w:val="0"/>
            <w:vAlign w:val="center"/>
          </w:tcPr>
          <w:p w14:paraId="735C055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381122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厂界无组织废气</w:t>
            </w:r>
          </w:p>
        </w:tc>
        <w:tc>
          <w:tcPr>
            <w:tcW w:w="930" w:type="pct"/>
            <w:vMerge w:val="continue"/>
            <w:noWrap w:val="0"/>
            <w:vAlign w:val="center"/>
          </w:tcPr>
          <w:p w14:paraId="551E0CA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35" w:type="pct"/>
            <w:noWrap w:val="0"/>
            <w:vAlign w:val="center"/>
          </w:tcPr>
          <w:p w14:paraId="4A0EC7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加强车间密闭</w:t>
            </w:r>
          </w:p>
        </w:tc>
      </w:tr>
      <w:tr w14:paraId="6D5F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30" w:type="pct"/>
            <w:vMerge w:val="continue"/>
            <w:noWrap w:val="0"/>
            <w:vAlign w:val="center"/>
          </w:tcPr>
          <w:p w14:paraId="5D4945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rPr>
            </w:pPr>
          </w:p>
        </w:tc>
        <w:tc>
          <w:tcPr>
            <w:tcW w:w="1503" w:type="pct"/>
            <w:noWrap w:val="0"/>
            <w:vAlign w:val="center"/>
          </w:tcPr>
          <w:p w14:paraId="5A08C6F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厂内无组织废气</w:t>
            </w:r>
          </w:p>
        </w:tc>
        <w:tc>
          <w:tcPr>
            <w:tcW w:w="930" w:type="pct"/>
            <w:vMerge w:val="continue"/>
            <w:noWrap w:val="0"/>
            <w:vAlign w:val="center"/>
          </w:tcPr>
          <w:p w14:paraId="2355966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sz w:val="21"/>
                <w:szCs w:val="21"/>
              </w:rPr>
            </w:pPr>
          </w:p>
        </w:tc>
        <w:tc>
          <w:tcPr>
            <w:tcW w:w="1935" w:type="pct"/>
            <w:noWrap w:val="0"/>
            <w:vAlign w:val="center"/>
          </w:tcPr>
          <w:p w14:paraId="0402D01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auto"/>
                <w:sz w:val="21"/>
                <w:szCs w:val="21"/>
                <w:highlight w:val="none"/>
                <w:vertAlign w:val="baseline"/>
                <w:lang w:val="en-US" w:eastAsia="zh-CN"/>
              </w:rPr>
              <w:t>加强车间密闭</w:t>
            </w:r>
          </w:p>
        </w:tc>
      </w:tr>
      <w:tr w14:paraId="246A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restart"/>
            <w:noWrap w:val="0"/>
            <w:vAlign w:val="center"/>
          </w:tcPr>
          <w:p w14:paraId="3F4806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1503" w:type="pct"/>
            <w:noWrap w:val="0"/>
            <w:vAlign w:val="center"/>
          </w:tcPr>
          <w:p w14:paraId="6807EA5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生产废水</w:t>
            </w:r>
          </w:p>
        </w:tc>
        <w:tc>
          <w:tcPr>
            <w:tcW w:w="930" w:type="pct"/>
            <w:noWrap w:val="0"/>
            <w:vAlign w:val="center"/>
          </w:tcPr>
          <w:p w14:paraId="3028147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w:t>
            </w: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935" w:type="pct"/>
            <w:noWrap w:val="0"/>
            <w:vAlign w:val="center"/>
          </w:tcPr>
          <w:p w14:paraId="0669C70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使用冷却水进行冷却，冷却水循环使用， 不外排</w:t>
            </w:r>
          </w:p>
        </w:tc>
      </w:tr>
      <w:tr w14:paraId="336E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continue"/>
            <w:noWrap w:val="0"/>
            <w:vAlign w:val="center"/>
          </w:tcPr>
          <w:p w14:paraId="5A21CAB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1379760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w:t>
            </w:r>
          </w:p>
        </w:tc>
        <w:tc>
          <w:tcPr>
            <w:tcW w:w="930" w:type="pct"/>
            <w:noWrap w:val="0"/>
            <w:vAlign w:val="center"/>
          </w:tcPr>
          <w:p w14:paraId="670D694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SS、COD、</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氨氮</w:t>
            </w:r>
          </w:p>
        </w:tc>
        <w:tc>
          <w:tcPr>
            <w:tcW w:w="1935" w:type="pct"/>
            <w:noWrap w:val="0"/>
            <w:vAlign w:val="center"/>
          </w:tcPr>
          <w:p w14:paraId="1CE31E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z w:val="21"/>
                <w:szCs w:val="21"/>
              </w:rPr>
              <w:t>经化粪池沉淀后一起排入市政 污水管网</w:t>
            </w:r>
          </w:p>
        </w:tc>
      </w:tr>
      <w:tr w14:paraId="2618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noWrap w:val="0"/>
            <w:vAlign w:val="center"/>
          </w:tcPr>
          <w:p w14:paraId="18967CE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声环境</w:t>
            </w:r>
          </w:p>
        </w:tc>
        <w:tc>
          <w:tcPr>
            <w:tcW w:w="1503" w:type="pct"/>
            <w:noWrap w:val="0"/>
            <w:vAlign w:val="center"/>
          </w:tcPr>
          <w:p w14:paraId="44D7C6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设备噪声</w:t>
            </w:r>
          </w:p>
        </w:tc>
        <w:tc>
          <w:tcPr>
            <w:tcW w:w="930" w:type="pct"/>
            <w:noWrap w:val="0"/>
            <w:vAlign w:val="center"/>
          </w:tcPr>
          <w:p w14:paraId="66D953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35" w:type="pct"/>
            <w:noWrap w:val="0"/>
            <w:vAlign w:val="center"/>
          </w:tcPr>
          <w:p w14:paraId="6E8E10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基础减震、厂房隔声</w:t>
            </w:r>
          </w:p>
        </w:tc>
      </w:tr>
      <w:tr w14:paraId="1EB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restart"/>
            <w:noWrap w:val="0"/>
            <w:vAlign w:val="center"/>
          </w:tcPr>
          <w:p w14:paraId="3C5ED64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固体废物</w:t>
            </w:r>
          </w:p>
        </w:tc>
        <w:tc>
          <w:tcPr>
            <w:tcW w:w="1503" w:type="pct"/>
            <w:noWrap w:val="0"/>
            <w:vAlign w:val="center"/>
          </w:tcPr>
          <w:p w14:paraId="44AE408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废反渗透膜</w:t>
            </w:r>
          </w:p>
        </w:tc>
        <w:tc>
          <w:tcPr>
            <w:tcW w:w="930" w:type="pct"/>
            <w:noWrap w:val="0"/>
            <w:vAlign w:val="center"/>
          </w:tcPr>
          <w:p w14:paraId="5E8C98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935" w:type="pct"/>
            <w:noWrap w:val="0"/>
            <w:vAlign w:val="center"/>
          </w:tcPr>
          <w:p w14:paraId="58E0BA7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环卫部门定期清运</w:t>
            </w:r>
          </w:p>
        </w:tc>
      </w:tr>
      <w:tr w14:paraId="0324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continue"/>
            <w:noWrap w:val="0"/>
            <w:vAlign w:val="center"/>
          </w:tcPr>
          <w:p w14:paraId="7F979C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104D014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防结块液废桶</w:t>
            </w:r>
          </w:p>
        </w:tc>
        <w:tc>
          <w:tcPr>
            <w:tcW w:w="930" w:type="pct"/>
            <w:noWrap w:val="0"/>
            <w:vAlign w:val="center"/>
          </w:tcPr>
          <w:p w14:paraId="53AB42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935" w:type="pct"/>
            <w:noWrap w:val="0"/>
            <w:vAlign w:val="center"/>
          </w:tcPr>
          <w:p w14:paraId="2E115FB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厂家回收利用</w:t>
            </w:r>
          </w:p>
        </w:tc>
      </w:tr>
      <w:tr w14:paraId="0E61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continue"/>
            <w:noWrap w:val="0"/>
            <w:vAlign w:val="center"/>
          </w:tcPr>
          <w:p w14:paraId="58097F5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03" w:type="pct"/>
            <w:noWrap w:val="0"/>
            <w:vAlign w:val="center"/>
          </w:tcPr>
          <w:p w14:paraId="41ABC82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防结块粉包装袋</w:t>
            </w:r>
          </w:p>
        </w:tc>
        <w:tc>
          <w:tcPr>
            <w:tcW w:w="930" w:type="pct"/>
            <w:noWrap w:val="0"/>
            <w:vAlign w:val="center"/>
          </w:tcPr>
          <w:p w14:paraId="1BB4B9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935" w:type="pct"/>
            <w:noWrap w:val="0"/>
            <w:vAlign w:val="center"/>
          </w:tcPr>
          <w:p w14:paraId="1894BFE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外售综合利用</w:t>
            </w:r>
          </w:p>
        </w:tc>
      </w:tr>
    </w:tbl>
    <w:p w14:paraId="064FC129">
      <w:pPr>
        <w:pStyle w:val="50"/>
        <w:spacing w:line="360" w:lineRule="auto"/>
        <w:ind w:firstLine="0" w:firstLineChars="0"/>
        <w:jc w:val="left"/>
        <w:outlineLvl w:val="1"/>
        <w:rPr>
          <w:rFonts w:hint="default" w:ascii="Times New Roman" w:hAnsi="Times New Roman" w:eastAsia="宋体" w:cs="Times New Roman"/>
          <w:b/>
          <w:sz w:val="28"/>
          <w:szCs w:val="32"/>
        </w:rPr>
      </w:pPr>
    </w:p>
    <w:p w14:paraId="31424B60">
      <w:pPr>
        <w:pStyle w:val="50"/>
        <w:spacing w:line="360" w:lineRule="auto"/>
        <w:ind w:firstLine="0" w:firstLineChars="0"/>
        <w:jc w:val="left"/>
        <w:outlineLvl w:val="1"/>
        <w:rPr>
          <w:rFonts w:hint="default" w:ascii="Times New Roman" w:hAnsi="Times New Roman" w:eastAsia="宋体" w:cs="Times New Roman"/>
          <w:b/>
          <w:sz w:val="28"/>
          <w:szCs w:val="32"/>
        </w:rPr>
      </w:pPr>
    </w:p>
    <w:p w14:paraId="67DBB95C">
      <w:pPr>
        <w:pStyle w:val="50"/>
        <w:spacing w:line="360" w:lineRule="auto"/>
        <w:ind w:firstLine="0" w:firstLineChars="0"/>
        <w:jc w:val="left"/>
        <w:outlineLvl w:val="1"/>
        <w:rPr>
          <w:rFonts w:hint="default" w:ascii="Times New Roman" w:hAnsi="Times New Roman" w:eastAsia="宋体" w:cs="Times New Roman"/>
          <w:b/>
          <w:sz w:val="28"/>
          <w:szCs w:val="32"/>
        </w:rPr>
      </w:pPr>
    </w:p>
    <w:p w14:paraId="4FB13523">
      <w:pPr>
        <w:pStyle w:val="50"/>
        <w:spacing w:line="360" w:lineRule="auto"/>
        <w:ind w:firstLine="0" w:firstLineChars="0"/>
        <w:jc w:val="left"/>
        <w:outlineLvl w:val="1"/>
        <w:rPr>
          <w:rFonts w:hint="default" w:ascii="Times New Roman" w:hAnsi="Times New Roman" w:eastAsia="宋体" w:cs="Times New Roman"/>
          <w:b/>
          <w:sz w:val="28"/>
          <w:szCs w:val="32"/>
        </w:rPr>
      </w:pPr>
    </w:p>
    <w:p w14:paraId="11947D38">
      <w:pPr>
        <w:pStyle w:val="50"/>
        <w:spacing w:line="360" w:lineRule="auto"/>
        <w:ind w:firstLine="0" w:firstLineChars="0"/>
        <w:jc w:val="left"/>
        <w:outlineLvl w:val="1"/>
        <w:rPr>
          <w:rFonts w:hint="default" w:ascii="Times New Roman" w:hAnsi="Times New Roman" w:eastAsia="宋体" w:cs="Times New Roman"/>
          <w:b/>
          <w:sz w:val="28"/>
          <w:szCs w:val="32"/>
        </w:rPr>
      </w:pPr>
    </w:p>
    <w:p w14:paraId="3F4A47E3">
      <w:pPr>
        <w:pStyle w:val="50"/>
        <w:spacing w:line="360" w:lineRule="auto"/>
        <w:ind w:firstLine="0" w:firstLineChars="0"/>
        <w:jc w:val="left"/>
        <w:outlineLvl w:val="1"/>
        <w:rPr>
          <w:rFonts w:hint="default" w:ascii="Times New Roman" w:hAnsi="Times New Roman" w:eastAsia="宋体" w:cs="Times New Roman"/>
          <w:b/>
          <w:sz w:val="28"/>
          <w:szCs w:val="32"/>
        </w:rPr>
      </w:pPr>
    </w:p>
    <w:p w14:paraId="66E3ABC3">
      <w:pPr>
        <w:pStyle w:val="50"/>
        <w:spacing w:line="360" w:lineRule="auto"/>
        <w:ind w:firstLine="0" w:firstLineChars="0"/>
        <w:jc w:val="left"/>
        <w:outlineLvl w:val="1"/>
        <w:rPr>
          <w:rFonts w:hint="default" w:ascii="Times New Roman" w:hAnsi="Times New Roman" w:eastAsia="宋体" w:cs="Times New Roman"/>
          <w:b/>
          <w:sz w:val="28"/>
          <w:szCs w:val="32"/>
        </w:rPr>
      </w:pPr>
    </w:p>
    <w:p w14:paraId="40BFF5CD">
      <w:pPr>
        <w:pStyle w:val="50"/>
        <w:spacing w:line="360" w:lineRule="auto"/>
        <w:ind w:firstLine="0" w:firstLineChars="0"/>
        <w:jc w:val="left"/>
        <w:outlineLvl w:val="1"/>
        <w:rPr>
          <w:rFonts w:hint="default" w:ascii="Times New Roman" w:hAnsi="Times New Roman" w:eastAsia="宋体" w:cs="Times New Roman"/>
          <w:b/>
          <w:sz w:val="28"/>
          <w:szCs w:val="32"/>
        </w:rPr>
      </w:pPr>
    </w:p>
    <w:p w14:paraId="6CABB7FE">
      <w:pPr>
        <w:pStyle w:val="50"/>
        <w:spacing w:line="360" w:lineRule="auto"/>
        <w:ind w:firstLine="0" w:firstLineChars="0"/>
        <w:jc w:val="left"/>
        <w:outlineLvl w:val="1"/>
        <w:rPr>
          <w:rFonts w:hint="default" w:ascii="Times New Roman" w:hAnsi="Times New Roman" w:eastAsia="宋体" w:cs="Times New Roman"/>
          <w:b/>
          <w:sz w:val="28"/>
          <w:szCs w:val="32"/>
        </w:rPr>
      </w:pPr>
    </w:p>
    <w:p w14:paraId="4D4F90AB">
      <w:pPr>
        <w:pStyle w:val="50"/>
        <w:spacing w:line="360" w:lineRule="auto"/>
        <w:ind w:firstLine="0" w:firstLineChars="0"/>
        <w:jc w:val="left"/>
        <w:outlineLvl w:val="1"/>
        <w:rPr>
          <w:rFonts w:ascii="Times New Roman" w:hAnsi="Times New Roman" w:eastAsia="宋体" w:cs="Times New Roman"/>
          <w:b/>
          <w:sz w:val="28"/>
          <w:szCs w:val="32"/>
        </w:rPr>
      </w:pPr>
      <w:r>
        <w:rPr>
          <w:rFonts w:hint="default" w:ascii="Times New Roman" w:hAnsi="Times New Roman" w:eastAsia="宋体" w:cs="Times New Roman"/>
          <w:b/>
          <w:sz w:val="28"/>
          <w:szCs w:val="32"/>
        </w:rPr>
        <w:t>3.6项目变动情况</w:t>
      </w:r>
      <w:bookmarkEnd w:id="26"/>
    </w:p>
    <w:p w14:paraId="77F7DD00">
      <w:pPr>
        <w:widowControl/>
        <w:adjustRightInd w:val="0"/>
        <w:snapToGrid w:val="0"/>
        <w:spacing w:line="360" w:lineRule="auto"/>
        <w:ind w:firstLine="480" w:firstLineChars="20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sz w:val="24"/>
          <w:szCs w:val="28"/>
        </w:rPr>
        <w:t>3.6.</w:t>
      </w:r>
      <w:r>
        <w:rPr>
          <w:rFonts w:ascii="Times New Roman" w:hAnsi="Times New Roman" w:eastAsia="宋体" w:cs="Times New Roman"/>
          <w:color w:val="000000" w:themeColor="text1"/>
          <w:sz w:val="24"/>
          <w:szCs w:val="28"/>
          <w14:textFill>
            <w14:solidFill>
              <w14:schemeClr w14:val="tx1"/>
            </w14:solidFill>
          </w14:textFill>
        </w:rPr>
        <w:t>1审批意见落实情况</w:t>
      </w:r>
      <w:bookmarkEnd w:id="25"/>
      <w:bookmarkStart w:id="27" w:name="_Toc497001471"/>
    </w:p>
    <w:p w14:paraId="2C277651">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审批意见落实情况</w:t>
      </w:r>
      <w:bookmarkEnd w:id="27"/>
      <w:r>
        <w:rPr>
          <w:rFonts w:hint="default" w:ascii="Times New Roman" w:hAnsi="Times New Roman" w:eastAsia="宋体" w:cs="Times New Roman"/>
          <w:color w:val="000000" w:themeColor="text1"/>
          <w:sz w:val="24"/>
          <w:szCs w:val="28"/>
          <w14:textFill>
            <w14:solidFill>
              <w14:schemeClr w14:val="tx1"/>
            </w14:solidFill>
          </w14:textFill>
        </w:rPr>
        <w:t>一览表见表3.6-1。</w:t>
      </w:r>
    </w:p>
    <w:p w14:paraId="5623D3FA">
      <w:pPr>
        <w:widowControl/>
        <w:adjustRightInd w:val="0"/>
        <w:snapToGrid w:val="0"/>
        <w:spacing w:line="240" w:lineRule="auto"/>
        <w:ind w:firstLine="442" w:firstLineChars="200"/>
        <w:jc w:val="center"/>
        <w:rPr>
          <w:rFonts w:hint="default" w:ascii="Times New Roman" w:hAnsi="Times New Roman" w:cs="Times New Roman"/>
          <w:b/>
          <w:color w:val="000000" w:themeColor="text1"/>
          <w:sz w:val="22"/>
          <w:szCs w:val="24"/>
          <w14:textFill>
            <w14:solidFill>
              <w14:schemeClr w14:val="tx1"/>
            </w14:solidFill>
          </w14:textFill>
        </w:rPr>
      </w:pPr>
    </w:p>
    <w:p w14:paraId="2A5767FD">
      <w:pPr>
        <w:widowControl/>
        <w:adjustRightInd w:val="0"/>
        <w:snapToGrid w:val="0"/>
        <w:spacing w:line="240" w:lineRule="auto"/>
        <w:ind w:firstLine="442" w:firstLineChars="200"/>
        <w:jc w:val="center"/>
        <w:rPr>
          <w:rFonts w:hint="default" w:ascii="Times New Roman" w:hAnsi="Times New Roman" w:cs="Times New Roman"/>
          <w:b/>
          <w:color w:val="000000" w:themeColor="text1"/>
          <w:sz w:val="22"/>
          <w:szCs w:val="24"/>
          <w14:textFill>
            <w14:solidFill>
              <w14:schemeClr w14:val="tx1"/>
            </w14:solidFill>
          </w14:textFill>
        </w:rPr>
      </w:pPr>
      <w:r>
        <w:rPr>
          <w:rFonts w:hint="default" w:ascii="Times New Roman" w:hAnsi="Times New Roman" w:cs="Times New Roman"/>
          <w:b/>
          <w:color w:val="000000" w:themeColor="text1"/>
          <w:sz w:val="22"/>
          <w:szCs w:val="24"/>
          <w14:textFill>
            <w14:solidFill>
              <w14:schemeClr w14:val="tx1"/>
            </w14:solidFill>
          </w14:textFill>
        </w:rPr>
        <w:t>表3.6-1  环评审批意见落实情况一览表</w:t>
      </w:r>
    </w:p>
    <w:tbl>
      <w:tblPr>
        <w:tblStyle w:val="33"/>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3950"/>
        <w:gridCol w:w="4197"/>
      </w:tblGrid>
      <w:tr w14:paraId="3F665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4ABD5366">
            <w:pPr>
              <w:spacing w:line="300" w:lineRule="exact"/>
              <w:jc w:val="center"/>
              <w:rPr>
                <w:rFonts w:hint="default" w:ascii="Times New Roman" w:hAnsi="Times New Roman" w:eastAsia="宋体" w:cs="Times New Roman"/>
                <w:b/>
                <w:szCs w:val="21"/>
              </w:rPr>
            </w:pPr>
            <w:bookmarkStart w:id="28" w:name="_Hlk49447808"/>
            <w:r>
              <w:rPr>
                <w:rFonts w:hint="default" w:ascii="Times New Roman" w:hAnsi="Times New Roman" w:eastAsia="宋体" w:cs="Times New Roman"/>
                <w:b/>
                <w:szCs w:val="21"/>
              </w:rPr>
              <w:t>序号</w:t>
            </w:r>
          </w:p>
        </w:tc>
        <w:tc>
          <w:tcPr>
            <w:tcW w:w="3950" w:type="dxa"/>
            <w:vAlign w:val="center"/>
          </w:tcPr>
          <w:p w14:paraId="5B43555F">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审批意见内容</w:t>
            </w:r>
          </w:p>
        </w:tc>
        <w:tc>
          <w:tcPr>
            <w:tcW w:w="4197" w:type="dxa"/>
            <w:vAlign w:val="center"/>
          </w:tcPr>
          <w:p w14:paraId="46901D03">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落实情况</w:t>
            </w:r>
          </w:p>
        </w:tc>
      </w:tr>
      <w:tr w14:paraId="4316B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14181BA0">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950" w:type="dxa"/>
            <w:vAlign w:val="center"/>
          </w:tcPr>
          <w:p w14:paraId="48615AA9">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建设单位：</w:t>
            </w:r>
            <w:r>
              <w:rPr>
                <w:rFonts w:hint="default" w:ascii="Times New Roman" w:hAnsi="Times New Roman" w:eastAsia="宋体" w:cs="Times New Roman"/>
                <w:szCs w:val="21"/>
                <w:lang w:val="en-US" w:eastAsia="zh-CN"/>
              </w:rPr>
              <w:t>山东</w:t>
            </w:r>
            <w:r>
              <w:rPr>
                <w:rFonts w:hint="eastAsia" w:ascii="Times New Roman" w:hAnsi="Times New Roman" w:eastAsia="宋体" w:cs="Times New Roman"/>
                <w:szCs w:val="21"/>
                <w:lang w:val="en-US" w:eastAsia="zh-CN"/>
              </w:rPr>
              <w:t>瑞盟生物科技</w:t>
            </w:r>
            <w:r>
              <w:rPr>
                <w:rFonts w:hint="default" w:ascii="Times New Roman" w:hAnsi="Times New Roman" w:eastAsia="宋体" w:cs="Times New Roman"/>
                <w:szCs w:val="21"/>
                <w:lang w:val="en-US" w:eastAsia="zh-CN"/>
              </w:rPr>
              <w:t>有限公司</w:t>
            </w:r>
          </w:p>
        </w:tc>
        <w:tc>
          <w:tcPr>
            <w:tcW w:w="4197" w:type="dxa"/>
            <w:vAlign w:val="center"/>
          </w:tcPr>
          <w:p w14:paraId="51B13E72">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建设单位名称不变。</w:t>
            </w:r>
          </w:p>
        </w:tc>
      </w:tr>
      <w:tr w14:paraId="3F61D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7BFA8457">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950" w:type="dxa"/>
            <w:vAlign w:val="center"/>
          </w:tcPr>
          <w:p w14:paraId="2C48F37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建设地点：菏泽市</w:t>
            </w:r>
            <w:r>
              <w:rPr>
                <w:rFonts w:hint="eastAsia" w:ascii="Times New Roman" w:hAnsi="Times New Roman" w:eastAsia="宋体" w:cs="Times New Roman"/>
                <w:szCs w:val="21"/>
                <w:lang w:val="en-US" w:eastAsia="zh-CN"/>
              </w:rPr>
              <w:t>成武县大田集镇港航产业园内。</w:t>
            </w:r>
          </w:p>
        </w:tc>
        <w:tc>
          <w:tcPr>
            <w:tcW w:w="4197" w:type="dxa"/>
            <w:vAlign w:val="center"/>
          </w:tcPr>
          <w:p w14:paraId="723EFA62">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建设地点不变。</w:t>
            </w:r>
          </w:p>
        </w:tc>
      </w:tr>
      <w:tr w14:paraId="3258B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14:paraId="68ED0054">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3950" w:type="dxa"/>
            <w:vAlign w:val="center"/>
          </w:tcPr>
          <w:p w14:paraId="4F8295D3">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做好施工期问的环境保护工作，合理安排施工期和作息时间，做到文明施工。严格控制施工期间的扬尘污染和水土流失;严格执行《建筑施工厂界环境噪声排放标准》(GB12523-2011)标准要求;对施工期产生的各类固废要分类、及时、妥善处理。</w:t>
            </w:r>
          </w:p>
        </w:tc>
        <w:tc>
          <w:tcPr>
            <w:tcW w:w="4197" w:type="dxa"/>
            <w:vAlign w:val="center"/>
          </w:tcPr>
          <w:p w14:paraId="4A6186CF">
            <w:pPr>
              <w:spacing w:line="300" w:lineRule="exact"/>
              <w:jc w:val="both"/>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本项目施工过程中已严格执行</w:t>
            </w:r>
            <w:r>
              <w:rPr>
                <w:rFonts w:hint="default" w:ascii="Times New Roman" w:hAnsi="Times New Roman" w:eastAsia="宋体" w:cs="Times New Roman"/>
                <w:kern w:val="2"/>
                <w:sz w:val="21"/>
                <w:szCs w:val="21"/>
                <w:lang w:val="en-US" w:eastAsia="zh-CN" w:bidi="ar-SA"/>
              </w:rPr>
              <w:t>《建筑施工厂界环境噪声排放标准》(GB12523-2011)标准要求;施工期</w:t>
            </w:r>
            <w:r>
              <w:rPr>
                <w:rFonts w:hint="eastAsia" w:ascii="Times New Roman" w:hAnsi="Times New Roman" w:eastAsia="宋体" w:cs="Times New Roman"/>
                <w:kern w:val="2"/>
                <w:sz w:val="21"/>
                <w:szCs w:val="21"/>
                <w:lang w:val="en-US" w:eastAsia="zh-CN" w:bidi="ar-SA"/>
              </w:rPr>
              <w:t>过程</w:t>
            </w:r>
            <w:r>
              <w:rPr>
                <w:rFonts w:hint="default" w:ascii="Times New Roman" w:hAnsi="Times New Roman" w:eastAsia="宋体" w:cs="Times New Roman"/>
                <w:kern w:val="2"/>
                <w:sz w:val="21"/>
                <w:szCs w:val="21"/>
                <w:lang w:val="en-US" w:eastAsia="zh-CN" w:bidi="ar-SA"/>
              </w:rPr>
              <w:t>产生的各类固废分类、及时、妥善处理。</w:t>
            </w:r>
          </w:p>
        </w:tc>
      </w:tr>
      <w:tr w14:paraId="295A5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34FA8C7D">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3950" w:type="dxa"/>
            <w:vAlign w:val="center"/>
          </w:tcPr>
          <w:p w14:paraId="55CA9A31">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按照雨污分流原则设计和建设厂区排水系统。碱喷淋产生的生产废水经污水处理一体化系统处理后和经化类池处理后的生活污水达到港航产业园污水处理厂接纳标准后进入港航产业园污水处理厂处理。</w:t>
            </w:r>
          </w:p>
        </w:tc>
        <w:tc>
          <w:tcPr>
            <w:tcW w:w="4197" w:type="dxa"/>
            <w:vAlign w:val="center"/>
          </w:tcPr>
          <w:p w14:paraId="4C7F0FF2">
            <w:pPr>
              <w:spacing w:line="300" w:lineRule="exact"/>
              <w:jc w:val="both"/>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按照雨污分流原则设计和建设厂区排水系统。碱喷淋产生的生产废水经污水处理一体化系统处理后和经化类池处理后的生活污水达到港航产业园污水处理厂接纳标准后进入港航产业园污水处理厂处理。</w:t>
            </w:r>
          </w:p>
        </w:tc>
      </w:tr>
      <w:tr w14:paraId="40347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29" w:type="dxa"/>
            <w:vAlign w:val="center"/>
          </w:tcPr>
          <w:p w14:paraId="6D316C36">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3950" w:type="dxa"/>
            <w:vAlign w:val="center"/>
          </w:tcPr>
          <w:p w14:paraId="1D8C8839">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生产用热采用园区内蒸汽供热。吹塑包装车间产生的有机废气经负压装置收集后引至1套二级活性炭吸附装置进行处理，然后通过1根15m高排气简DA001排放，有组织VOCs排放需满足《挥发性有机物排放控制标准第6部分:有机化工行业》(DB37/2801.6-2018)表1时段排放限值要求，吹塑包装车</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厂界无组织VOCs浓度需满足《挥发性有机物排放控制标准第6部分:有机化工行业》(DB37/2801.6-2018)表3厂界无组织监控点挥发性有机物浓度限值要求;酷酸生产车问的过滤、精馏、分装以及存储的废气废气经管道收集后通过碱喷淋+活性炭吸附装置进行处理、然后由1根1m高排气简DA002排放，有组织VOCs排放需满足《挥发性有机物排放标准第7部分:其他行业》(DB37/2801.7-2019)表1时段排放展值要求，酷酸车间无组织VOCs浓度需满足《挥发性有机物排放标准第了部分:其他行业》(DB37/2801.7-2019)表2厂界无组织监控值要求</w:t>
            </w:r>
            <w:r>
              <w:rPr>
                <w:rFonts w:hint="eastAsia" w:ascii="Times New Roman" w:hAnsi="Times New Roman" w:eastAsia="宋体" w:cs="Times New Roman"/>
                <w:szCs w:val="21"/>
                <w:lang w:val="en-US" w:eastAsia="zh-CN"/>
              </w:rPr>
              <w:t>；</w:t>
            </w:r>
          </w:p>
          <w:p w14:paraId="63ACD17C">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厂区内无组织VOCs排放浓度需满足《挥发性有机物无组织排放控制标准》</w:t>
            </w:r>
          </w:p>
          <w:p w14:paraId="1B012066">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(GB37822-2019)附录A中表A.1中特别排放限值要求</w:t>
            </w:r>
            <w:r>
              <w:rPr>
                <w:rFonts w:hint="eastAsia" w:ascii="Times New Roman" w:hAnsi="Times New Roman" w:eastAsia="宋体" w:cs="Times New Roman"/>
                <w:szCs w:val="21"/>
                <w:lang w:val="en-US" w:eastAsia="zh-CN"/>
              </w:rPr>
              <w:t>。</w:t>
            </w:r>
          </w:p>
        </w:tc>
        <w:tc>
          <w:tcPr>
            <w:tcW w:w="4197" w:type="dxa"/>
            <w:vAlign w:val="center"/>
          </w:tcPr>
          <w:p w14:paraId="06253BE9">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项目生产用热采用园区内蒸汽供热。吹塑包装车间产生的有机废气经负压装置收集后引至1套二级活性炭吸附装置进行处理，然后通过1根15m高排气简DA001排放，</w:t>
            </w:r>
            <w:r>
              <w:rPr>
                <w:rFonts w:hint="eastAsia" w:ascii="Times New Roman" w:hAnsi="Times New Roman" w:eastAsia="宋体" w:cs="Times New Roman"/>
                <w:szCs w:val="21"/>
                <w:lang w:val="en-US" w:eastAsia="zh-CN"/>
              </w:rPr>
              <w:t>根据监测数据</w:t>
            </w:r>
            <w:r>
              <w:rPr>
                <w:rFonts w:hint="default" w:ascii="Times New Roman" w:hAnsi="Times New Roman" w:eastAsia="宋体" w:cs="Times New Roman"/>
                <w:szCs w:val="21"/>
                <w:lang w:val="en-US" w:eastAsia="zh-CN"/>
              </w:rPr>
              <w:t>有组织VOCs排放需满足《挥发性有机物排放控制标准第6部分:有机化工行业》(DB37/2801.6-2018)表1时段排放限值要求，</w:t>
            </w:r>
            <w:r>
              <w:rPr>
                <w:rFonts w:hint="eastAsia" w:ascii="Times New Roman" w:hAnsi="Times New Roman" w:eastAsia="宋体" w:cs="Times New Roman"/>
                <w:szCs w:val="21"/>
                <w:lang w:val="en-US" w:eastAsia="zh-CN"/>
              </w:rPr>
              <w:t>根据验收监测数据</w:t>
            </w:r>
            <w:r>
              <w:rPr>
                <w:rFonts w:hint="default" w:ascii="Times New Roman" w:hAnsi="Times New Roman" w:eastAsia="宋体" w:cs="Times New Roman"/>
                <w:szCs w:val="21"/>
                <w:lang w:val="en-US" w:eastAsia="zh-CN"/>
              </w:rPr>
              <w:t>吹塑包装车</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厂界无组织VOCs浓度满足《挥发性有机物排放控制标准第6部分:有机化工行业》(DB37/2801.6-2018)表3厂界无组织监控点挥发性有机物浓度限值要求</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酷酸生产车问的过滤、精馏、分装以及存储的废气废气经管道收集后通过碱喷淋+活性炭吸附装置进行处理然后由1根1m高排气简DA002排放，</w:t>
            </w:r>
            <w:r>
              <w:rPr>
                <w:rFonts w:hint="eastAsia" w:ascii="Times New Roman" w:hAnsi="Times New Roman" w:eastAsia="宋体" w:cs="Times New Roman"/>
                <w:szCs w:val="21"/>
                <w:lang w:val="en-US" w:eastAsia="zh-CN"/>
              </w:rPr>
              <w:t>根据验收检测数据</w:t>
            </w:r>
            <w:r>
              <w:rPr>
                <w:rFonts w:hint="default" w:ascii="Times New Roman" w:hAnsi="Times New Roman" w:eastAsia="宋体" w:cs="Times New Roman"/>
                <w:szCs w:val="21"/>
                <w:lang w:val="en-US" w:eastAsia="zh-CN"/>
              </w:rPr>
              <w:t>有组织VOCs排放需满足《挥发性有机物排放标准第7部分:其他行业》(DB37/2801.7-2019)表1时段排放展值要求，酷酸车间无组织VOCs浓度需满足《挥发性有机物排放标准第了部分:其他行业》(DB37/2801.7-2019)表2厂界无组织监控值要求</w:t>
            </w:r>
            <w:r>
              <w:rPr>
                <w:rFonts w:hint="eastAsia" w:ascii="Times New Roman" w:hAnsi="Times New Roman" w:eastAsia="宋体" w:cs="Times New Roman"/>
                <w:szCs w:val="21"/>
                <w:lang w:val="en-US" w:eastAsia="zh-CN"/>
              </w:rPr>
              <w:t>；</w:t>
            </w:r>
          </w:p>
          <w:p w14:paraId="2EB47EA1">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厂区内无组织VOCs排放浓度需满足《挥发性有机物无组织排放控制标准》</w:t>
            </w:r>
          </w:p>
          <w:p w14:paraId="5A9D5EDC">
            <w:pPr>
              <w:spacing w:line="300" w:lineRule="exact"/>
              <w:jc w:val="left"/>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(GB37822-2019)附录A中表A.1中特别排放限值要求</w:t>
            </w:r>
            <w:r>
              <w:rPr>
                <w:rFonts w:hint="eastAsia" w:ascii="Times New Roman" w:hAnsi="Times New Roman" w:eastAsia="宋体" w:cs="Times New Roman"/>
                <w:szCs w:val="21"/>
                <w:lang w:val="en-US" w:eastAsia="zh-CN"/>
              </w:rPr>
              <w:t>。</w:t>
            </w:r>
          </w:p>
        </w:tc>
      </w:tr>
      <w:tr w14:paraId="7CAE5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52" w:hRule="atLeast"/>
          <w:jc w:val="center"/>
        </w:trPr>
        <w:tc>
          <w:tcPr>
            <w:tcW w:w="529" w:type="dxa"/>
            <w:vAlign w:val="center"/>
          </w:tcPr>
          <w:p w14:paraId="28F90263">
            <w:pPr>
              <w:spacing w:line="300" w:lineRule="exact"/>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6</w:t>
            </w:r>
          </w:p>
        </w:tc>
        <w:tc>
          <w:tcPr>
            <w:tcW w:w="3950" w:type="dxa"/>
            <w:vAlign w:val="center"/>
          </w:tcPr>
          <w:p w14:paraId="698098A5">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活垃圾由环卫定期清运;废活性炭、精馏残液、废过滤膜、过滤残渣委托有资质单位处理;废弃包装材料回用于生产。危废收集、储存、处置须满足《危险废物贮存污染控制标准》(GB18597-2001)及其修改单要求，一般固度收集、储存、处置须满足《一般工业固体度物贮存和填埋污染控制标准》要求。</w:t>
            </w:r>
          </w:p>
        </w:tc>
        <w:tc>
          <w:tcPr>
            <w:tcW w:w="4197" w:type="dxa"/>
            <w:vAlign w:val="center"/>
          </w:tcPr>
          <w:p w14:paraId="3D94C547">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生活垃圾由环卫定期清运</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废活性炭、精馏残液、废过滤膜、过滤残渣委托有资质单位处理;废弃包装材料回用于生产。危废收集、储存、处置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满足《危险废物贮存污染控制标准》(GB18597-20</w:t>
            </w:r>
            <w:r>
              <w:rPr>
                <w:rFonts w:hint="eastAsia" w:ascii="Times New Roman" w:hAnsi="Times New Roman" w:eastAsia="宋体" w:cs="Times New Roman"/>
                <w:szCs w:val="21"/>
                <w:lang w:val="en-US" w:eastAsia="zh-CN"/>
              </w:rPr>
              <w:t>23</w:t>
            </w:r>
            <w:r>
              <w:rPr>
                <w:rFonts w:hint="default" w:ascii="Times New Roman" w:hAnsi="Times New Roman" w:eastAsia="宋体" w:cs="Times New Roman"/>
                <w:szCs w:val="21"/>
                <w:lang w:val="en-US" w:eastAsia="zh-CN"/>
              </w:rPr>
              <w:t>)要求，一般固度收集、储存、处置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满足《一般工业固体度物贮存和填埋污染控制标准》要求。</w:t>
            </w:r>
          </w:p>
        </w:tc>
      </w:tr>
      <w:tr w14:paraId="360B8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6DB725F6">
            <w:pPr>
              <w:spacing w:line="300" w:lineRule="exact"/>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7</w:t>
            </w:r>
          </w:p>
        </w:tc>
        <w:tc>
          <w:tcPr>
            <w:tcW w:w="3950" w:type="dxa"/>
            <w:vAlign w:val="center"/>
          </w:tcPr>
          <w:p w14:paraId="03B5EC42">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选用低噪声设备，采取有效的隔声、吸声、消声、减振等措施，并加强厂区绿化，确保噪声达到《工业企业厂界环境噪声排放标准》(GB12348-2008)中3类区标准</w:t>
            </w:r>
          </w:p>
        </w:tc>
        <w:tc>
          <w:tcPr>
            <w:tcW w:w="4197" w:type="dxa"/>
            <w:vAlign w:val="center"/>
          </w:tcPr>
          <w:p w14:paraId="0B1A211A">
            <w:pPr>
              <w:spacing w:line="300" w:lineRule="exact"/>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选用低噪声设备，采取有效的隔声、吸声、消声、减振等措施，</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加强厂区绿化，</w:t>
            </w:r>
            <w:r>
              <w:rPr>
                <w:rFonts w:hint="eastAsia" w:ascii="Times New Roman" w:hAnsi="Times New Roman" w:eastAsia="宋体" w:cs="Times New Roman"/>
                <w:szCs w:val="21"/>
                <w:lang w:val="en-US" w:eastAsia="zh-CN"/>
              </w:rPr>
              <w:t>根据验收检测数据</w:t>
            </w:r>
            <w:r>
              <w:rPr>
                <w:rFonts w:hint="default" w:ascii="Times New Roman" w:hAnsi="Times New Roman" w:eastAsia="宋体" w:cs="Times New Roman"/>
                <w:szCs w:val="21"/>
                <w:lang w:val="en-US" w:eastAsia="zh-CN"/>
              </w:rPr>
              <w:t>《工业企业厂界环境噪声排放标准》(GB12348-2008)中3类区标准</w:t>
            </w:r>
          </w:p>
        </w:tc>
      </w:tr>
      <w:tr w14:paraId="690C2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70EF48C5">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3950" w:type="dxa"/>
            <w:vAlign w:val="center"/>
          </w:tcPr>
          <w:p w14:paraId="36EFADA3">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项目VOCs总量指标分别控制在0.3255t/a内</w:t>
            </w:r>
          </w:p>
        </w:tc>
        <w:tc>
          <w:tcPr>
            <w:tcW w:w="4197" w:type="dxa"/>
            <w:vAlign w:val="center"/>
          </w:tcPr>
          <w:p w14:paraId="2F4D5CAE">
            <w:pPr>
              <w:spacing w:line="300" w:lineRule="exact"/>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根据验收检测数据</w:t>
            </w:r>
            <w:r>
              <w:rPr>
                <w:rFonts w:hint="default" w:ascii="Times New Roman" w:hAnsi="Times New Roman" w:eastAsia="宋体" w:cs="Times New Roman"/>
                <w:szCs w:val="21"/>
                <w:lang w:val="en-US" w:eastAsia="zh-CN"/>
              </w:rPr>
              <w:t>项目VOCs总量指标</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控制在0.3255t/a内</w:t>
            </w:r>
          </w:p>
        </w:tc>
      </w:tr>
      <w:tr w14:paraId="0518B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14:paraId="6A909524">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3950" w:type="dxa"/>
            <w:vAlign w:val="center"/>
          </w:tcPr>
          <w:p w14:paraId="75976E98">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加强营运期的环境管理，建设一套科学的环境风险防范措施和应急预案。设置事故废水导排系统，建设容积不小于360m³的事故水池，在厂区雨水排放口设置切断措施确保无事故废水外排，制定非正常工况下的环境保护措施，必要时应立即停产，确保无环境污染事故发生。</w:t>
            </w:r>
          </w:p>
        </w:tc>
        <w:tc>
          <w:tcPr>
            <w:tcW w:w="4197" w:type="dxa"/>
            <w:vAlign w:val="center"/>
          </w:tcPr>
          <w:p w14:paraId="38C3210F">
            <w:pPr>
              <w:spacing w:line="300" w:lineRule="exact"/>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加强营运期的环境管理，</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建设一套科学的环境风险防范措施和应急预案。</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设置事故废水导排系统，建设容积不小于360m³的事故水池，</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在厂区雨水排放口设置切断措施确保无事故废水外排，</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制定非正常工况下的环境保护措施，必要时应立即停产，确保无环境污染事故发生。</w:t>
            </w:r>
          </w:p>
        </w:tc>
      </w:tr>
      <w:tr w14:paraId="49071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14:paraId="399E4E07">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3950" w:type="dxa"/>
            <w:vAlign w:val="center"/>
          </w:tcPr>
          <w:p w14:paraId="7A8AA726">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建设需严格执行污染防治设施与主体工程同时设计、同时施工、同时投入使用的环保“三同时”制度。项目应当依法申请排污许可证，未取得排污许可证的，不得排放污染物。项目竣工后，你单位应当按照国务院环境保护行政主管部门规定的标准和程序，对配套建设的环境保护设施进行验收，验收合格后方可正式投入使用</w:t>
            </w:r>
            <w:r>
              <w:rPr>
                <w:rFonts w:hint="eastAsia" w:ascii="Times New Roman" w:hAnsi="Times New Roman" w:eastAsia="宋体" w:cs="Times New Roman"/>
                <w:szCs w:val="21"/>
                <w:lang w:val="en-US" w:eastAsia="zh-CN"/>
              </w:rPr>
              <w:t>。</w:t>
            </w:r>
          </w:p>
        </w:tc>
        <w:tc>
          <w:tcPr>
            <w:tcW w:w="4197" w:type="dxa"/>
            <w:vAlign w:val="center"/>
          </w:tcPr>
          <w:p w14:paraId="4A2A58FA">
            <w:pPr>
              <w:spacing w:line="300" w:lineRule="exact"/>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lang w:val="en-US" w:eastAsia="zh-CN"/>
              </w:rPr>
              <w:t>项目建设</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严格执行污染防治设施与主体工程同时设计、同时施工、同时投入使用的环保“三同时”制度。</w:t>
            </w:r>
            <w:r>
              <w:rPr>
                <w:rFonts w:hint="eastAsia" w:ascii="Times New Roman" w:hAnsi="Times New Roman" w:eastAsia="宋体" w:cs="Times New Roman"/>
                <w:szCs w:val="21"/>
                <w:lang w:val="en-US" w:eastAsia="zh-CN"/>
              </w:rPr>
              <w:t>本</w:t>
            </w:r>
            <w:r>
              <w:rPr>
                <w:rFonts w:hint="default" w:ascii="Times New Roman" w:hAnsi="Times New Roman" w:eastAsia="宋体" w:cs="Times New Roman"/>
                <w:szCs w:val="21"/>
                <w:lang w:val="en-US" w:eastAsia="zh-CN"/>
              </w:rPr>
              <w:t>项目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应当依法申请排污许可证</w:t>
            </w:r>
            <w:r>
              <w:rPr>
                <w:rFonts w:hint="eastAsia" w:ascii="Times New Roman" w:hAnsi="Times New Roman" w:eastAsia="宋体" w:cs="Times New Roman"/>
                <w:szCs w:val="21"/>
                <w:lang w:val="en-US" w:eastAsia="zh-CN"/>
              </w:rPr>
              <w:t>。</w:t>
            </w:r>
          </w:p>
        </w:tc>
      </w:tr>
      <w:bookmarkEnd w:id="28"/>
    </w:tbl>
    <w:p w14:paraId="2525577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3.6.2变更情况说明</w:t>
      </w:r>
    </w:p>
    <w:p w14:paraId="3B7E4C3C">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本项目验收期间，对照生态环境部办公厅发布的环办环评函【2020】688号</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14:textFill>
            <w14:solidFill>
              <w14:schemeClr w14:val="tx1"/>
            </w14:solidFill>
          </w14:textFill>
        </w:rPr>
        <w:t>对比如下：</w:t>
      </w:r>
    </w:p>
    <w:p w14:paraId="29AAB053">
      <w:pPr>
        <w:pStyle w:val="3"/>
        <w:keepNext w:val="0"/>
        <w:keepLines w:val="0"/>
        <w:pageBreakBefore w:val="0"/>
        <w:kinsoku/>
        <w:wordWrap/>
        <w:overflowPunct/>
        <w:topLinePunct w:val="0"/>
        <w:autoSpaceDE/>
        <w:autoSpaceDN/>
        <w:bidi w:val="0"/>
        <w:spacing w:after="0" w:line="240" w:lineRule="auto"/>
        <w:ind w:left="0"/>
        <w:jc w:val="center"/>
        <w:textAlignment w:val="auto"/>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表3.6-2  污染影响类建设项目重大变动清单对照表</w:t>
      </w:r>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53"/>
        <w:gridCol w:w="4809"/>
        <w:gridCol w:w="3762"/>
      </w:tblGrid>
      <w:tr w14:paraId="2A229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3" w:type="pct"/>
            <w:vAlign w:val="top"/>
          </w:tcPr>
          <w:p w14:paraId="4D889446">
            <w:pPr>
              <w:spacing w:line="30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序号</w:t>
            </w:r>
          </w:p>
        </w:tc>
        <w:tc>
          <w:tcPr>
            <w:tcW w:w="2635" w:type="pct"/>
            <w:vAlign w:val="top"/>
          </w:tcPr>
          <w:p w14:paraId="6FF87FEA">
            <w:pPr>
              <w:spacing w:line="30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重大变动清单内容</w:t>
            </w:r>
          </w:p>
        </w:tc>
        <w:tc>
          <w:tcPr>
            <w:tcW w:w="2061" w:type="pct"/>
            <w:vAlign w:val="top"/>
          </w:tcPr>
          <w:p w14:paraId="5557056F">
            <w:pPr>
              <w:spacing w:line="30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变更情况</w:t>
            </w:r>
          </w:p>
        </w:tc>
      </w:tr>
      <w:tr w14:paraId="1FF26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3" w:type="pct"/>
            <w:vAlign w:val="center"/>
          </w:tcPr>
          <w:p w14:paraId="2305627E">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635" w:type="pct"/>
            <w:vAlign w:val="center"/>
          </w:tcPr>
          <w:p w14:paraId="519E5B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建设项目开发、使用功能发生变化的</w:t>
            </w:r>
          </w:p>
        </w:tc>
        <w:tc>
          <w:tcPr>
            <w:tcW w:w="2061" w:type="pct"/>
            <w:vAlign w:val="center"/>
          </w:tcPr>
          <w:p w14:paraId="2F37D2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建设项目开发、使用功能未发生变化</w:t>
            </w:r>
          </w:p>
        </w:tc>
      </w:tr>
      <w:tr w14:paraId="7D348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3" w:type="pct"/>
            <w:vAlign w:val="center"/>
          </w:tcPr>
          <w:p w14:paraId="1914494D">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635" w:type="pct"/>
            <w:vAlign w:val="center"/>
          </w:tcPr>
          <w:p w14:paraId="450EB3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生产、处置或储存能力增大30%以上的</w:t>
            </w:r>
          </w:p>
        </w:tc>
        <w:tc>
          <w:tcPr>
            <w:tcW w:w="2061" w:type="pct"/>
            <w:vAlign w:val="center"/>
          </w:tcPr>
          <w:p w14:paraId="0E077E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生产、处置或储存能力未增大30%以上</w:t>
            </w:r>
          </w:p>
        </w:tc>
      </w:tr>
      <w:tr w14:paraId="08F72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3" w:type="pct"/>
            <w:vAlign w:val="center"/>
          </w:tcPr>
          <w:p w14:paraId="453FF830">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635" w:type="pct"/>
            <w:vAlign w:val="center"/>
          </w:tcPr>
          <w:p w14:paraId="203F419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生产、处置或储存能力增大，导致废水第一类污染物排放量增加的</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061" w:type="pct"/>
            <w:vAlign w:val="center"/>
          </w:tcPr>
          <w:p w14:paraId="0A1593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生产、处置或储存能力没有增大</w:t>
            </w:r>
          </w:p>
        </w:tc>
      </w:tr>
      <w:tr w14:paraId="37D53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98" w:hRule="atLeast"/>
          <w:jc w:val="center"/>
        </w:trPr>
        <w:tc>
          <w:tcPr>
            <w:tcW w:w="303" w:type="pct"/>
            <w:vAlign w:val="center"/>
          </w:tcPr>
          <w:p w14:paraId="239A71AF">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635" w:type="pct"/>
            <w:vAlign w:val="center"/>
          </w:tcPr>
          <w:p w14:paraId="4B87EE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环境质量不达标区的建设项目生产、处置或储存能力增大，导致响应污染物排放量增加的（细颗粒物不达标区，响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061" w:type="pct"/>
            <w:vAlign w:val="center"/>
          </w:tcPr>
          <w:p w14:paraId="6D7592E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位于环境质量不达标区的建设项目生产、处置或储存能力</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增大</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不会</w:t>
            </w:r>
            <w:r>
              <w:rPr>
                <w:rFonts w:hint="default" w:ascii="Times New Roman" w:hAnsi="Times New Roman" w:eastAsia="宋体" w:cs="Times New Roman"/>
                <w:color w:val="000000" w:themeColor="text1"/>
                <w:szCs w:val="21"/>
                <w14:textFill>
                  <w14:solidFill>
                    <w14:schemeClr w14:val="tx1"/>
                  </w14:solidFill>
                </w14:textFill>
              </w:rPr>
              <w:t>导致响应污染物排放量增加</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位于达标区的建设项目生产、处置或储存能力</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增大</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不会</w:t>
            </w:r>
            <w:r>
              <w:rPr>
                <w:rFonts w:hint="default" w:ascii="Times New Roman" w:hAnsi="Times New Roman" w:eastAsia="宋体" w:cs="Times New Roman"/>
                <w:color w:val="000000" w:themeColor="text1"/>
                <w:szCs w:val="21"/>
                <w14:textFill>
                  <w14:solidFill>
                    <w14:schemeClr w14:val="tx1"/>
                  </w14:solidFill>
                </w14:textFill>
              </w:rPr>
              <w:t>导致污染物排放量增加10%及以上。</w:t>
            </w:r>
          </w:p>
        </w:tc>
      </w:tr>
      <w:tr w14:paraId="455D3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 w:hRule="atLeast"/>
          <w:jc w:val="center"/>
        </w:trPr>
        <w:tc>
          <w:tcPr>
            <w:tcW w:w="303" w:type="pct"/>
            <w:vAlign w:val="center"/>
          </w:tcPr>
          <w:p w14:paraId="11A4B428">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2635" w:type="pct"/>
            <w:vAlign w:val="center"/>
          </w:tcPr>
          <w:p w14:paraId="1DA80E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重新选址；在原厂址附近调整（包括总平面布置变化）导致环境防护距离范围变化且新增敏感点的。</w:t>
            </w:r>
          </w:p>
        </w:tc>
        <w:tc>
          <w:tcPr>
            <w:tcW w:w="2061" w:type="pct"/>
            <w:vAlign w:val="center"/>
          </w:tcPr>
          <w:p w14:paraId="137B72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没有重新选址，没有</w:t>
            </w:r>
            <w:r>
              <w:rPr>
                <w:rFonts w:hint="default" w:ascii="Times New Roman" w:hAnsi="Times New Roman" w:eastAsia="宋体" w:cs="Times New Roman"/>
                <w:color w:val="000000" w:themeColor="text1"/>
                <w:szCs w:val="21"/>
                <w14:textFill>
                  <w14:solidFill>
                    <w14:schemeClr w14:val="tx1"/>
                  </w14:solidFill>
                </w14:textFill>
              </w:rPr>
              <w:t>在原厂址附近调整</w:t>
            </w:r>
            <w:r>
              <w:rPr>
                <w:rFonts w:hint="eastAsia" w:ascii="Times New Roman" w:hAnsi="Times New Roman" w:eastAsia="宋体" w:cs="Times New Roman"/>
                <w:color w:val="000000" w:themeColor="text1"/>
                <w:szCs w:val="21"/>
                <w:lang w:eastAsia="zh-CN"/>
                <w14:textFill>
                  <w14:solidFill>
                    <w14:schemeClr w14:val="tx1"/>
                  </w14:solidFill>
                </w14:textFill>
              </w:rPr>
              <w:t>。</w:t>
            </w:r>
          </w:p>
        </w:tc>
      </w:tr>
      <w:tr w14:paraId="370D5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09CD46B3">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2635" w:type="pct"/>
            <w:vAlign w:val="center"/>
          </w:tcPr>
          <w:p w14:paraId="35A388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增产品品种或生产工艺（含主要生产装置、设备及配套设施）、主要原辅料、燃料变化，导致以下情形之一：（1）新增排放污染物种类的（毒性、挥发性降低的除外）；（2）位于环境质量不达标区的建设项目响应污染物排放量增加的；（3）废水第一类污染物排放量增加的；（4）其他污染物排放量增加10%及以上的。</w:t>
            </w:r>
          </w:p>
        </w:tc>
        <w:tc>
          <w:tcPr>
            <w:tcW w:w="2061" w:type="pct"/>
            <w:vAlign w:val="center"/>
          </w:tcPr>
          <w:p w14:paraId="28EF16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新增产品品种或生产工艺</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主要原辅料、燃料</w:t>
            </w:r>
            <w:r>
              <w:rPr>
                <w:rFonts w:hint="eastAsia" w:ascii="Times New Roman" w:hAnsi="Times New Roman" w:eastAsia="宋体" w:cs="Times New Roman"/>
                <w:color w:val="000000" w:themeColor="text1"/>
                <w:szCs w:val="21"/>
                <w:lang w:val="en-US" w:eastAsia="zh-CN"/>
                <w14:textFill>
                  <w14:solidFill>
                    <w14:schemeClr w14:val="tx1"/>
                  </w14:solidFill>
                </w14:textFill>
              </w:rPr>
              <w:t>未发生</w:t>
            </w:r>
            <w:r>
              <w:rPr>
                <w:rFonts w:hint="default" w:ascii="Times New Roman" w:hAnsi="Times New Roman" w:eastAsia="宋体" w:cs="Times New Roman"/>
                <w:color w:val="000000" w:themeColor="text1"/>
                <w:szCs w:val="21"/>
                <w14:textFill>
                  <w14:solidFill>
                    <w14:schemeClr w14:val="tx1"/>
                  </w14:solidFill>
                </w14:textFill>
              </w:rPr>
              <w:t>变化</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位于环境质量不达标区的建设项目响应污染物排放量</w:t>
            </w:r>
            <w:r>
              <w:rPr>
                <w:rFonts w:hint="eastAsia" w:ascii="Times New Roman" w:hAnsi="Times New Roman" w:eastAsia="宋体" w:cs="Times New Roman"/>
                <w:color w:val="000000" w:themeColor="text1"/>
                <w:szCs w:val="21"/>
                <w:lang w:val="en-US" w:eastAsia="zh-CN"/>
                <w14:textFill>
                  <w14:solidFill>
                    <w14:schemeClr w14:val="tx1"/>
                  </w14:solidFill>
                </w14:textFill>
              </w:rPr>
              <w:t>没有</w:t>
            </w:r>
            <w:r>
              <w:rPr>
                <w:rFonts w:hint="default" w:ascii="Times New Roman" w:hAnsi="Times New Roman" w:eastAsia="宋体" w:cs="Times New Roman"/>
                <w:color w:val="000000" w:themeColor="text1"/>
                <w:szCs w:val="21"/>
                <w14:textFill>
                  <w14:solidFill>
                    <w14:schemeClr w14:val="tx1"/>
                  </w14:solidFill>
                </w14:textFill>
              </w:rPr>
              <w:t>增加</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废水第一类污染物排放量</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增加</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他污染物排放量</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增加10%及以上。</w:t>
            </w:r>
          </w:p>
        </w:tc>
      </w:tr>
      <w:tr w14:paraId="77B45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3" w:type="pct"/>
            <w:vAlign w:val="center"/>
          </w:tcPr>
          <w:p w14:paraId="323D50E1">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2635" w:type="pct"/>
            <w:vAlign w:val="center"/>
          </w:tcPr>
          <w:p w14:paraId="5AB355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物料运输、装卸、贮存方式变化，导致大气污染物无组织排放量增加10</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及以上的。</w:t>
            </w:r>
          </w:p>
        </w:tc>
        <w:tc>
          <w:tcPr>
            <w:tcW w:w="2061" w:type="pct"/>
            <w:vAlign w:val="center"/>
          </w:tcPr>
          <w:p w14:paraId="746BC3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物料运输、装卸、贮存方式</w:t>
            </w:r>
            <w:r>
              <w:rPr>
                <w:rFonts w:hint="eastAsia" w:ascii="Times New Roman" w:hAnsi="Times New Roman" w:eastAsia="宋体" w:cs="Times New Roman"/>
                <w:color w:val="000000" w:themeColor="text1"/>
                <w:szCs w:val="21"/>
                <w:lang w:val="en-US" w:eastAsia="zh-CN"/>
                <w14:textFill>
                  <w14:solidFill>
                    <w14:schemeClr w14:val="tx1"/>
                  </w14:solidFill>
                </w14:textFill>
              </w:rPr>
              <w:t>未发生</w:t>
            </w:r>
            <w:r>
              <w:rPr>
                <w:rFonts w:hint="default" w:ascii="Times New Roman" w:hAnsi="Times New Roman" w:eastAsia="宋体" w:cs="Times New Roman"/>
                <w:color w:val="000000" w:themeColor="text1"/>
                <w:szCs w:val="21"/>
                <w14:textFill>
                  <w14:solidFill>
                    <w14:schemeClr w14:val="tx1"/>
                  </w14:solidFill>
                </w14:textFill>
              </w:rPr>
              <w:t>变化</w:t>
            </w:r>
          </w:p>
        </w:tc>
      </w:tr>
      <w:tr w14:paraId="16C6E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14FEAC50">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2635" w:type="pct"/>
            <w:vAlign w:val="center"/>
          </w:tcPr>
          <w:p w14:paraId="549DA30E">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废气、废水污染防治措施变化，导致第6条中所列情形之一（废气无组织排放改为有组织排放、污染防治措施强化或改进的除外）或大气污染物无组织排放量增加10%以上的。</w:t>
            </w:r>
          </w:p>
        </w:tc>
        <w:tc>
          <w:tcPr>
            <w:tcW w:w="2061" w:type="pct"/>
            <w:vAlign w:val="center"/>
          </w:tcPr>
          <w:p w14:paraId="1DFE34E5">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废气、废水污染防治措施</w:t>
            </w:r>
            <w:r>
              <w:rPr>
                <w:rFonts w:hint="eastAsia" w:ascii="Times New Roman" w:hAnsi="Times New Roman" w:eastAsia="宋体" w:cs="Times New Roman"/>
                <w:color w:val="000000" w:themeColor="text1"/>
                <w:szCs w:val="21"/>
                <w:lang w:val="en-US" w:eastAsia="zh-CN"/>
                <w14:textFill>
                  <w14:solidFill>
                    <w14:schemeClr w14:val="tx1"/>
                  </w14:solidFill>
                </w14:textFill>
              </w:rPr>
              <w:t>未发生</w:t>
            </w:r>
            <w:r>
              <w:rPr>
                <w:rFonts w:hint="default" w:ascii="Times New Roman" w:hAnsi="Times New Roman" w:eastAsia="宋体" w:cs="Times New Roman"/>
                <w:color w:val="000000" w:themeColor="text1"/>
                <w:szCs w:val="21"/>
                <w14:textFill>
                  <w14:solidFill>
                    <w14:schemeClr w14:val="tx1"/>
                  </w14:solidFill>
                </w14:textFill>
              </w:rPr>
              <w:t>变化</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大</w:t>
            </w:r>
            <w:r>
              <w:rPr>
                <w:rFonts w:hint="default" w:ascii="Times New Roman" w:hAnsi="Times New Roman" w:eastAsia="宋体" w:cs="Times New Roman"/>
                <w:color w:val="000000" w:themeColor="text1"/>
                <w:szCs w:val="21"/>
                <w14:textFill>
                  <w14:solidFill>
                    <w14:schemeClr w14:val="tx1"/>
                  </w14:solidFill>
                </w14:textFill>
              </w:rPr>
              <w:t>气污染物无组织排放量</w:t>
            </w:r>
            <w:r>
              <w:rPr>
                <w:rFonts w:hint="eastAsia" w:ascii="Times New Roman" w:hAnsi="Times New Roman" w:eastAsia="宋体" w:cs="Times New Roman"/>
                <w:color w:val="000000" w:themeColor="text1"/>
                <w:szCs w:val="21"/>
                <w:lang w:val="en-US" w:eastAsia="zh-CN"/>
                <w14:textFill>
                  <w14:solidFill>
                    <w14:schemeClr w14:val="tx1"/>
                  </w14:solidFill>
                </w14:textFill>
              </w:rPr>
              <w:t>未</w:t>
            </w:r>
            <w:r>
              <w:rPr>
                <w:rFonts w:hint="default" w:ascii="Times New Roman" w:hAnsi="Times New Roman" w:eastAsia="宋体" w:cs="Times New Roman"/>
                <w:color w:val="000000" w:themeColor="text1"/>
                <w:szCs w:val="21"/>
                <w14:textFill>
                  <w14:solidFill>
                    <w14:schemeClr w14:val="tx1"/>
                  </w14:solidFill>
                </w14:textFill>
              </w:rPr>
              <w:t>增加10%以</w:t>
            </w:r>
            <w:r>
              <w:rPr>
                <w:rFonts w:hint="eastAsia" w:ascii="Times New Roman" w:hAnsi="Times New Roman" w:eastAsia="宋体" w:cs="Times New Roman"/>
                <w:color w:val="000000" w:themeColor="text1"/>
                <w:szCs w:val="21"/>
                <w:lang w:eastAsia="zh-CN"/>
                <w14:textFill>
                  <w14:solidFill>
                    <w14:schemeClr w14:val="tx1"/>
                  </w14:solidFill>
                </w14:textFill>
              </w:rPr>
              <w:t>。</w:t>
            </w:r>
          </w:p>
        </w:tc>
      </w:tr>
      <w:tr w14:paraId="35C76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25B2F1E1">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2635" w:type="pct"/>
            <w:vAlign w:val="center"/>
          </w:tcPr>
          <w:p w14:paraId="289457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新增废水主要排放口；废水由间接排放改为直接排放；废水直接排放口位置变化，导致不利环境影响加重的。</w:t>
            </w:r>
          </w:p>
        </w:tc>
        <w:tc>
          <w:tcPr>
            <w:tcW w:w="2061" w:type="pct"/>
            <w:vAlign w:val="center"/>
          </w:tcPr>
          <w:p w14:paraId="7477D5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没有</w:t>
            </w:r>
            <w:r>
              <w:rPr>
                <w:rFonts w:hint="default" w:ascii="Times New Roman" w:hAnsi="Times New Roman" w:eastAsia="宋体" w:cs="Times New Roman"/>
                <w:color w:val="000000" w:themeColor="text1"/>
                <w:szCs w:val="21"/>
                <w14:textFill>
                  <w14:solidFill>
                    <w14:schemeClr w14:val="tx1"/>
                  </w14:solidFill>
                </w14:textFill>
              </w:rPr>
              <w:t>新增废水主要排放口；</w:t>
            </w:r>
          </w:p>
        </w:tc>
      </w:tr>
      <w:tr w14:paraId="49CA4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471C7839">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2635" w:type="pct"/>
            <w:vAlign w:val="center"/>
          </w:tcPr>
          <w:p w14:paraId="6EC3C8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新增废气主要排放口（废气无组织排放改为有组织排放的除外）；主要排放口排气筒高度降低10%及以上的。</w:t>
            </w:r>
          </w:p>
        </w:tc>
        <w:tc>
          <w:tcPr>
            <w:tcW w:w="2061" w:type="pct"/>
            <w:vAlign w:val="center"/>
          </w:tcPr>
          <w:p w14:paraId="02E8E50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没有</w:t>
            </w:r>
            <w:r>
              <w:rPr>
                <w:rFonts w:hint="default" w:ascii="Times New Roman" w:hAnsi="Times New Roman" w:eastAsia="宋体" w:cs="Times New Roman"/>
                <w:color w:val="000000" w:themeColor="text1"/>
                <w:szCs w:val="21"/>
                <w14:textFill>
                  <w14:solidFill>
                    <w14:schemeClr w14:val="tx1"/>
                  </w14:solidFill>
                </w14:textFill>
              </w:rPr>
              <w:t>新增废气主要排放口</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主要排放口排气筒高度</w:t>
            </w:r>
            <w:r>
              <w:rPr>
                <w:rFonts w:hint="eastAsia" w:ascii="Times New Roman" w:hAnsi="Times New Roman" w:eastAsia="宋体" w:cs="Times New Roman"/>
                <w:color w:val="000000" w:themeColor="text1"/>
                <w:szCs w:val="21"/>
                <w:lang w:val="en-US" w:eastAsia="zh-CN"/>
                <w14:textFill>
                  <w14:solidFill>
                    <w14:schemeClr w14:val="tx1"/>
                  </w14:solidFill>
                </w14:textFill>
              </w:rPr>
              <w:t>没有</w:t>
            </w:r>
            <w:r>
              <w:rPr>
                <w:rFonts w:hint="default" w:ascii="Times New Roman" w:hAnsi="Times New Roman" w:eastAsia="宋体" w:cs="Times New Roman"/>
                <w:color w:val="000000" w:themeColor="text1"/>
                <w:szCs w:val="21"/>
                <w14:textFill>
                  <w14:solidFill>
                    <w14:schemeClr w14:val="tx1"/>
                  </w14:solidFill>
                </w14:textFill>
              </w:rPr>
              <w:t>降低10%及以上。</w:t>
            </w:r>
          </w:p>
        </w:tc>
      </w:tr>
      <w:tr w14:paraId="7422B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311A090E">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2635" w:type="pct"/>
            <w:vAlign w:val="center"/>
          </w:tcPr>
          <w:p w14:paraId="790653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噪声、土壤或地下水污染防治措施变化，导致不利环境影响加重的</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061" w:type="pct"/>
            <w:vAlign w:val="center"/>
          </w:tcPr>
          <w:p w14:paraId="50FE50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噪声、土壤或地下水污染防治措施</w:t>
            </w:r>
            <w:r>
              <w:rPr>
                <w:rFonts w:hint="eastAsia" w:ascii="Times New Roman" w:hAnsi="Times New Roman" w:eastAsia="宋体" w:cs="Times New Roman"/>
                <w:color w:val="000000" w:themeColor="text1"/>
                <w:szCs w:val="21"/>
                <w:lang w:val="en-US" w:eastAsia="zh-CN"/>
                <w14:textFill>
                  <w14:solidFill>
                    <w14:schemeClr w14:val="tx1"/>
                  </w14:solidFill>
                </w14:textFill>
              </w:rPr>
              <w:t>没有发生</w:t>
            </w:r>
            <w:r>
              <w:rPr>
                <w:rFonts w:hint="default" w:ascii="Times New Roman" w:hAnsi="Times New Roman" w:eastAsia="宋体" w:cs="Times New Roman"/>
                <w:color w:val="000000" w:themeColor="text1"/>
                <w:szCs w:val="21"/>
                <w14:textFill>
                  <w14:solidFill>
                    <w14:schemeClr w14:val="tx1"/>
                  </w14:solidFill>
                </w14:textFill>
              </w:rPr>
              <w:t>变化</w:t>
            </w:r>
            <w:r>
              <w:rPr>
                <w:rFonts w:hint="eastAsia" w:ascii="Times New Roman" w:hAnsi="Times New Roman" w:eastAsia="宋体" w:cs="Times New Roman"/>
                <w:color w:val="000000" w:themeColor="text1"/>
                <w:szCs w:val="21"/>
                <w:lang w:eastAsia="zh-CN"/>
                <w14:textFill>
                  <w14:solidFill>
                    <w14:schemeClr w14:val="tx1"/>
                  </w14:solidFill>
                </w14:textFill>
              </w:rPr>
              <w:t>。</w:t>
            </w:r>
          </w:p>
        </w:tc>
      </w:tr>
      <w:tr w14:paraId="275D6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482F6ABC">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w:t>
            </w:r>
          </w:p>
        </w:tc>
        <w:tc>
          <w:tcPr>
            <w:tcW w:w="2635" w:type="pct"/>
            <w:vAlign w:val="center"/>
          </w:tcPr>
          <w:p w14:paraId="0740AA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2061" w:type="pct"/>
            <w:vAlign w:val="center"/>
          </w:tcPr>
          <w:p w14:paraId="5DAFCE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固体废物利用处置方式</w:t>
            </w:r>
            <w:r>
              <w:rPr>
                <w:rFonts w:hint="eastAsia" w:ascii="Times New Roman" w:hAnsi="Times New Roman" w:eastAsia="宋体" w:cs="Times New Roman"/>
                <w:color w:val="000000" w:themeColor="text1"/>
                <w:szCs w:val="21"/>
                <w:lang w:val="en-US" w:eastAsia="zh-CN"/>
                <w14:textFill>
                  <w14:solidFill>
                    <w14:schemeClr w14:val="tx1"/>
                  </w14:solidFill>
                </w14:textFill>
              </w:rPr>
              <w:t>没有</w:t>
            </w:r>
            <w:r>
              <w:rPr>
                <w:rFonts w:hint="default" w:ascii="Times New Roman" w:hAnsi="Times New Roman" w:eastAsia="宋体" w:cs="Times New Roman"/>
                <w:color w:val="000000" w:themeColor="text1"/>
                <w:szCs w:val="21"/>
                <w14:textFill>
                  <w14:solidFill>
                    <w14:schemeClr w14:val="tx1"/>
                  </w14:solidFill>
                </w14:textFill>
              </w:rPr>
              <w:t>由委托外单位利用处置改为自行利用处置</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固体废物自行处置方式</w:t>
            </w:r>
            <w:r>
              <w:rPr>
                <w:rFonts w:hint="eastAsia" w:ascii="Times New Roman" w:hAnsi="Times New Roman" w:eastAsia="宋体" w:cs="Times New Roman"/>
                <w:color w:val="000000" w:themeColor="text1"/>
                <w:szCs w:val="21"/>
                <w:lang w:val="en-US" w:eastAsia="zh-CN"/>
                <w14:textFill>
                  <w14:solidFill>
                    <w14:schemeClr w14:val="tx1"/>
                  </w14:solidFill>
                </w14:textFill>
              </w:rPr>
              <w:t>没有发生</w:t>
            </w:r>
            <w:r>
              <w:rPr>
                <w:rFonts w:hint="default" w:ascii="Times New Roman" w:hAnsi="Times New Roman" w:eastAsia="宋体" w:cs="Times New Roman"/>
                <w:color w:val="000000" w:themeColor="text1"/>
                <w:szCs w:val="21"/>
                <w14:textFill>
                  <w14:solidFill>
                    <w14:schemeClr w14:val="tx1"/>
                  </w14:solidFill>
                </w14:textFill>
              </w:rPr>
              <w:t>变化</w:t>
            </w:r>
            <w:r>
              <w:rPr>
                <w:rFonts w:hint="eastAsia" w:ascii="Times New Roman" w:hAnsi="Times New Roman" w:eastAsia="宋体" w:cs="Times New Roman"/>
                <w:color w:val="000000" w:themeColor="text1"/>
                <w:szCs w:val="21"/>
                <w:lang w:eastAsia="zh-CN"/>
                <w14:textFill>
                  <w14:solidFill>
                    <w14:schemeClr w14:val="tx1"/>
                  </w14:solidFill>
                </w14:textFill>
              </w:rPr>
              <w:t>。</w:t>
            </w:r>
          </w:p>
        </w:tc>
      </w:tr>
      <w:tr w14:paraId="0F568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3" w:type="pct"/>
            <w:vAlign w:val="center"/>
          </w:tcPr>
          <w:p w14:paraId="2FF39F36">
            <w:pPr>
              <w:spacing w:line="36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w:t>
            </w:r>
          </w:p>
        </w:tc>
        <w:tc>
          <w:tcPr>
            <w:tcW w:w="2635" w:type="pct"/>
            <w:vAlign w:val="center"/>
          </w:tcPr>
          <w:p w14:paraId="365601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事故废水暂存能力或拦截设施变化，导致环境风险防范能力弱化或降低的</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061" w:type="pct"/>
            <w:vAlign w:val="center"/>
          </w:tcPr>
          <w:p w14:paraId="7B8DB0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事故废水暂存能力或拦截设施</w:t>
            </w:r>
            <w:r>
              <w:rPr>
                <w:rFonts w:hint="eastAsia" w:ascii="Times New Roman" w:hAnsi="Times New Roman" w:eastAsia="宋体" w:cs="Times New Roman"/>
                <w:color w:val="000000" w:themeColor="text1"/>
                <w:szCs w:val="21"/>
                <w:lang w:val="en-US" w:eastAsia="zh-CN"/>
                <w14:textFill>
                  <w14:solidFill>
                    <w14:schemeClr w14:val="tx1"/>
                  </w14:solidFill>
                </w14:textFill>
              </w:rPr>
              <w:t>没有发生</w:t>
            </w:r>
            <w:r>
              <w:rPr>
                <w:rFonts w:hint="default" w:ascii="Times New Roman" w:hAnsi="Times New Roman" w:eastAsia="宋体" w:cs="Times New Roman"/>
                <w:color w:val="000000" w:themeColor="text1"/>
                <w:szCs w:val="21"/>
                <w14:textFill>
                  <w14:solidFill>
                    <w14:schemeClr w14:val="tx1"/>
                  </w14:solidFill>
                </w14:textFill>
              </w:rPr>
              <w:t>变化</w:t>
            </w:r>
            <w:r>
              <w:rPr>
                <w:rFonts w:hint="eastAsia" w:ascii="Times New Roman" w:hAnsi="Times New Roman" w:eastAsia="宋体" w:cs="Times New Roman"/>
                <w:color w:val="000000" w:themeColor="text1"/>
                <w:szCs w:val="21"/>
                <w:lang w:eastAsia="zh-CN"/>
                <w14:textFill>
                  <w14:solidFill>
                    <w14:schemeClr w14:val="tx1"/>
                  </w14:solidFill>
                </w14:textFill>
              </w:rPr>
              <w:t>。</w:t>
            </w:r>
          </w:p>
        </w:tc>
      </w:tr>
    </w:tbl>
    <w:p w14:paraId="64EB900E">
      <w:pPr>
        <w:widowControl/>
        <w:adjustRightInd w:val="0"/>
        <w:snapToGrid w:val="0"/>
        <w:spacing w:line="240" w:lineRule="auto"/>
        <w:jc w:val="left"/>
        <w:rPr>
          <w:rFonts w:ascii="Times New Roman" w:hAnsi="Times New Roman" w:eastAsia="宋体" w:cs="Times New Roman"/>
          <w:b/>
          <w:sz w:val="32"/>
          <w:szCs w:val="32"/>
        </w:rPr>
      </w:pPr>
      <w:bookmarkStart w:id="29" w:name="_Toc29510"/>
    </w:p>
    <w:p w14:paraId="2F92DED9">
      <w:pPr>
        <w:widowControl/>
        <w:adjustRightInd w:val="0"/>
        <w:snapToGrid w:val="0"/>
        <w:spacing w:line="240" w:lineRule="auto"/>
        <w:jc w:val="left"/>
        <w:rPr>
          <w:rFonts w:ascii="Times New Roman" w:hAnsi="Times New Roman" w:eastAsia="宋体" w:cs="Times New Roman"/>
          <w:b/>
          <w:sz w:val="32"/>
          <w:szCs w:val="32"/>
        </w:rPr>
      </w:pPr>
    </w:p>
    <w:p w14:paraId="54D201FC">
      <w:pPr>
        <w:widowControl/>
        <w:adjustRightInd w:val="0"/>
        <w:snapToGrid w:val="0"/>
        <w:spacing w:line="240" w:lineRule="auto"/>
        <w:jc w:val="left"/>
        <w:rPr>
          <w:rFonts w:ascii="Times New Roman" w:hAnsi="Times New Roman" w:eastAsia="宋体" w:cs="Times New Roman"/>
          <w:b/>
          <w:sz w:val="32"/>
          <w:szCs w:val="32"/>
        </w:rPr>
      </w:pPr>
    </w:p>
    <w:p w14:paraId="42F48BF8">
      <w:pPr>
        <w:widowControl/>
        <w:adjustRightInd w:val="0"/>
        <w:snapToGrid w:val="0"/>
        <w:spacing w:line="240" w:lineRule="auto"/>
        <w:jc w:val="left"/>
        <w:rPr>
          <w:rFonts w:ascii="Times New Roman" w:hAnsi="Times New Roman" w:eastAsia="宋体" w:cs="Times New Roman"/>
          <w:b/>
          <w:sz w:val="32"/>
          <w:szCs w:val="32"/>
        </w:rPr>
      </w:pPr>
    </w:p>
    <w:p w14:paraId="71D0415C">
      <w:pPr>
        <w:widowControl/>
        <w:adjustRightInd w:val="0"/>
        <w:snapToGrid w:val="0"/>
        <w:spacing w:line="240" w:lineRule="auto"/>
        <w:jc w:val="left"/>
        <w:rPr>
          <w:rFonts w:ascii="Times New Roman" w:hAnsi="Times New Roman" w:eastAsia="宋体" w:cs="Times New Roman"/>
          <w:b/>
          <w:sz w:val="32"/>
          <w:szCs w:val="32"/>
        </w:rPr>
      </w:pPr>
    </w:p>
    <w:p w14:paraId="474813E9">
      <w:pPr>
        <w:widowControl/>
        <w:adjustRightInd w:val="0"/>
        <w:snapToGrid w:val="0"/>
        <w:spacing w:line="240" w:lineRule="auto"/>
        <w:jc w:val="left"/>
        <w:rPr>
          <w:rFonts w:ascii="Times New Roman" w:hAnsi="Times New Roman" w:eastAsia="宋体" w:cs="Times New Roman"/>
          <w:b/>
          <w:sz w:val="32"/>
          <w:szCs w:val="32"/>
        </w:rPr>
      </w:pPr>
    </w:p>
    <w:p w14:paraId="221C7A29">
      <w:pPr>
        <w:widowControl/>
        <w:adjustRightInd w:val="0"/>
        <w:snapToGrid w:val="0"/>
        <w:spacing w:line="240" w:lineRule="auto"/>
        <w:jc w:val="left"/>
        <w:rPr>
          <w:rFonts w:ascii="Times New Roman" w:hAnsi="Times New Roman" w:eastAsia="宋体" w:cs="Times New Roman"/>
          <w:b/>
          <w:sz w:val="32"/>
          <w:szCs w:val="32"/>
        </w:rPr>
      </w:pPr>
    </w:p>
    <w:p w14:paraId="4BFF8B33">
      <w:pPr>
        <w:widowControl/>
        <w:adjustRightInd w:val="0"/>
        <w:snapToGrid w:val="0"/>
        <w:spacing w:line="240" w:lineRule="auto"/>
        <w:jc w:val="left"/>
        <w:rPr>
          <w:rFonts w:ascii="Times New Roman" w:hAnsi="Times New Roman" w:eastAsia="宋体" w:cs="Times New Roman"/>
          <w:b/>
          <w:sz w:val="32"/>
          <w:szCs w:val="32"/>
        </w:rPr>
      </w:pPr>
    </w:p>
    <w:p w14:paraId="6CC9DE75">
      <w:pPr>
        <w:widowControl/>
        <w:adjustRightInd w:val="0"/>
        <w:snapToGrid w:val="0"/>
        <w:spacing w:line="240" w:lineRule="auto"/>
        <w:jc w:val="left"/>
        <w:rPr>
          <w:rFonts w:ascii="Times New Roman" w:hAnsi="Times New Roman" w:eastAsia="宋体" w:cs="Times New Roman"/>
          <w:b/>
          <w:sz w:val="32"/>
          <w:szCs w:val="32"/>
        </w:rPr>
      </w:pPr>
    </w:p>
    <w:p w14:paraId="5AE5E771">
      <w:pPr>
        <w:widowControl/>
        <w:adjustRightInd w:val="0"/>
        <w:snapToGrid w:val="0"/>
        <w:spacing w:line="240" w:lineRule="auto"/>
        <w:jc w:val="left"/>
        <w:rPr>
          <w:rFonts w:ascii="Times New Roman" w:hAnsi="Times New Roman" w:eastAsia="宋体" w:cs="Times New Roman"/>
          <w:b/>
          <w:sz w:val="32"/>
          <w:szCs w:val="32"/>
        </w:rPr>
      </w:pPr>
    </w:p>
    <w:p w14:paraId="6E541039">
      <w:pPr>
        <w:widowControl/>
        <w:adjustRightInd w:val="0"/>
        <w:snapToGrid w:val="0"/>
        <w:spacing w:line="240" w:lineRule="auto"/>
        <w:jc w:val="left"/>
        <w:rPr>
          <w:rFonts w:ascii="Times New Roman" w:hAnsi="Times New Roman" w:eastAsia="宋体" w:cs="Times New Roman"/>
          <w:b/>
          <w:sz w:val="32"/>
          <w:szCs w:val="32"/>
        </w:rPr>
      </w:pPr>
      <w:r>
        <w:rPr>
          <w:rFonts w:ascii="Times New Roman" w:hAnsi="Times New Roman" w:eastAsia="宋体" w:cs="Times New Roman"/>
          <w:b/>
          <w:sz w:val="32"/>
          <w:szCs w:val="32"/>
        </w:rPr>
        <w:t>4、环境保护设施</w:t>
      </w:r>
      <w:bookmarkEnd w:id="29"/>
    </w:p>
    <w:p w14:paraId="44551A77">
      <w:pPr>
        <w:pStyle w:val="50"/>
        <w:spacing w:line="360" w:lineRule="auto"/>
        <w:ind w:firstLine="0" w:firstLineChars="0"/>
        <w:jc w:val="left"/>
        <w:outlineLvl w:val="1"/>
        <w:rPr>
          <w:rFonts w:ascii="Times New Roman" w:hAnsi="Times New Roman" w:eastAsia="宋体" w:cs="Times New Roman"/>
          <w:b/>
          <w:sz w:val="28"/>
          <w:szCs w:val="32"/>
        </w:rPr>
      </w:pPr>
      <w:bookmarkStart w:id="30" w:name="_Toc14239"/>
      <w:r>
        <w:rPr>
          <w:rFonts w:ascii="Times New Roman" w:hAnsi="Times New Roman" w:eastAsia="宋体" w:cs="Times New Roman"/>
          <w:b/>
          <w:sz w:val="28"/>
          <w:szCs w:val="32"/>
        </w:rPr>
        <w:t>4.1污染物治理/处置设施</w:t>
      </w:r>
      <w:bookmarkEnd w:id="30"/>
    </w:p>
    <w:p w14:paraId="00D5BA9D">
      <w:pPr>
        <w:pStyle w:val="50"/>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4.1.1废水</w:t>
      </w:r>
    </w:p>
    <w:p w14:paraId="1F98D9E5">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本项目新增污水为生活污水以及碱喷淋产生的生产废水。碱喷淋产生的废水经过废水池进行收集，通过污水处理一体化系统处理后，排入市政污水管网；生活污水经厂区污水管汇集后，经化粪池处理后排市政污水管网。</w:t>
      </w:r>
    </w:p>
    <w:p w14:paraId="723616AD">
      <w:pPr>
        <w:pStyle w:val="50"/>
        <w:spacing w:line="360" w:lineRule="auto"/>
        <w:ind w:firstLine="0" w:firstLineChars="0"/>
        <w:jc w:val="left"/>
        <w:rPr>
          <w:rFonts w:hint="default" w:ascii="Times New Roman" w:hAnsi="Times New Roman" w:eastAsia="宋体" w:cs="Times New Roman"/>
          <w:b/>
          <w:sz w:val="24"/>
          <w:szCs w:val="32"/>
        </w:rPr>
      </w:pPr>
      <w:r>
        <w:rPr>
          <w:sz w:val="24"/>
        </w:rPr>
        <mc:AlternateContent>
          <mc:Choice Requires="wps">
            <w:drawing>
              <wp:anchor distT="0" distB="0" distL="114300" distR="114300" simplePos="0" relativeHeight="251675648" behindDoc="0" locked="0" layoutInCell="1" allowOverlap="1">
                <wp:simplePos x="0" y="0"/>
                <wp:positionH relativeFrom="column">
                  <wp:posOffset>4741545</wp:posOffset>
                </wp:positionH>
                <wp:positionV relativeFrom="paragraph">
                  <wp:posOffset>172720</wp:posOffset>
                </wp:positionV>
                <wp:extent cx="1534795" cy="466090"/>
                <wp:effectExtent l="0" t="0" r="0" b="0"/>
                <wp:wrapNone/>
                <wp:docPr id="106" name="矩形 106"/>
                <wp:cNvGraphicFramePr/>
                <a:graphic xmlns:a="http://schemas.openxmlformats.org/drawingml/2006/main">
                  <a:graphicData uri="http://schemas.microsoft.com/office/word/2010/wordprocessingShape">
                    <wps:wsp>
                      <wps:cNvSpPr/>
                      <wps:spPr>
                        <a:xfrm>
                          <a:off x="0" y="0"/>
                          <a:ext cx="1534795" cy="4660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1DACFFE">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15mP1排气筒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35pt;margin-top:13.6pt;height:36.7pt;width:120.85pt;z-index:251675648;v-text-anchor:middle;mso-width-relative:page;mso-height-relative:page;" filled="f" stroked="f" coordsize="21600,21600" o:gfxdata="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owv3tcAAAAKAQAADwAAAAAAAAABACAAAAAiAAAAZHJzL2Rvd25yZXYueG1sUEsBAhQAFAAA&#10;AAgAh07iQLr6gpxiAgAAsQQAAA4AAAAAAAAAAQAgAAAAJgEAAGRycy9lMm9Eb2MueG1sUEsFBgAA&#10;AAAGAAYAWQEAAPoFAAAAAA==&#10;">
                <v:fill on="f" focussize="0,0"/>
                <v:stroke on="f" weight="1pt" miterlimit="8" joinstyle="miter"/>
                <v:imagedata o:title=""/>
                <o:lock v:ext="edit" aspectratio="f"/>
                <v:textbox>
                  <w:txbxContent>
                    <w:p w14:paraId="01DACFFE">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15mP1排气筒</w:t>
                      </w:r>
                    </w:p>
                  </w:txbxContent>
                </v:textbox>
              </v:rect>
            </w:pict>
          </mc:Fallback>
        </mc:AlternateContent>
      </w:r>
      <w:r>
        <w:rPr>
          <w:rFonts w:hint="default" w:ascii="Times New Roman" w:hAnsi="Times New Roman" w:eastAsia="宋体" w:cs="Times New Roman"/>
          <w:b/>
          <w:sz w:val="24"/>
          <w:szCs w:val="32"/>
        </w:rPr>
        <w:t>4.1.2废气</w:t>
      </w:r>
    </w:p>
    <w:p w14:paraId="1B3867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39B5D0B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5297805</wp:posOffset>
                </wp:positionH>
                <wp:positionV relativeFrom="paragraph">
                  <wp:posOffset>21590</wp:posOffset>
                </wp:positionV>
                <wp:extent cx="259715" cy="623570"/>
                <wp:effectExtent l="6350" t="6350" r="19685" b="17780"/>
                <wp:wrapNone/>
                <wp:docPr id="104" name="矩形 104"/>
                <wp:cNvGraphicFramePr/>
                <a:graphic xmlns:a="http://schemas.openxmlformats.org/drawingml/2006/main">
                  <a:graphicData uri="http://schemas.microsoft.com/office/word/2010/wordprocessingShape">
                    <wps:wsp>
                      <wps:cNvSpPr/>
                      <wps:spPr>
                        <a:xfrm>
                          <a:off x="0" y="0"/>
                          <a:ext cx="259715" cy="62357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15pt;margin-top:1.7pt;height:49.1pt;width:20.45pt;z-index:251673600;v-text-anchor:middle;mso-width-relative:page;mso-height-relative:page;" filled="f" stroked="t" coordsize="21600,21600" o:gfxdata="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ZwqGP2AAAAAkBAAAPAAAAAAAAAAEAIAAAACIAAABkcnMvZG93bnJldi54bWxQ&#10;SwECFAAUAAAACACHTuJAcqYAxmkCAADOBAAADgAAAAAAAAABACAAAAAnAQAAZHJzL2Uyb0RvYy54&#10;bWxQSwUGAAAAAAYABgBZAQAAAgYAAAAA&#10;">
                <v:fill on="f" focussize="0,0"/>
                <v:stroke weight="1pt" color="#000000 [3213]" miterlimit="8" joinstyle="miter"/>
                <v:imagedata o:title=""/>
                <o:lock v:ext="edit" aspectratio="f"/>
              </v:rect>
            </w:pict>
          </mc:Fallback>
        </mc:AlternateContent>
      </w:r>
    </w:p>
    <w:p w14:paraId="4BE8F1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2705100</wp:posOffset>
                </wp:positionH>
                <wp:positionV relativeFrom="paragraph">
                  <wp:posOffset>36195</wp:posOffset>
                </wp:positionV>
                <wp:extent cx="1534795" cy="466090"/>
                <wp:effectExtent l="6350" t="6350" r="20955" b="22860"/>
                <wp:wrapNone/>
                <wp:docPr id="21" name="矩形 21"/>
                <wp:cNvGraphicFramePr/>
                <a:graphic xmlns:a="http://schemas.openxmlformats.org/drawingml/2006/main">
                  <a:graphicData uri="http://schemas.microsoft.com/office/word/2010/wordprocessingShape">
                    <wps:wsp>
                      <wps:cNvSpPr/>
                      <wps:spPr>
                        <a:xfrm>
                          <a:off x="0" y="0"/>
                          <a:ext cx="1534795" cy="46609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023BBA4">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二级活性炭吸附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pt;margin-top:2.85pt;height:36.7pt;width:120.85pt;z-index:251671552;v-text-anchor:middle;mso-width-relative:page;mso-height-relative:page;" filled="f" stroked="t" coordsize="21600,21600" o:gfxdata="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u+qHDXAAAACAEAAA8AAAAAAAAAAQAgAAAAIgAAAGRycy9kb3ducmV2&#10;LnhtbFBLAQIUABQAAAAIAIdO4kBRaQ2jbwIAANgEAAAOAAAAAAAAAAEAIAAAACYBAABkcnMvZTJv&#10;RG9jLnhtbFBLBQYAAAAABgAGAFkBAAAHBgAAAAA=&#10;">
                <v:fill on="f" focussize="0,0"/>
                <v:stroke weight="1pt" color="#000000 [3213]" miterlimit="8" joinstyle="miter"/>
                <v:imagedata o:title=""/>
                <o:lock v:ext="edit" aspectratio="f"/>
                <v:textbox>
                  <w:txbxContent>
                    <w:p w14:paraId="1023BBA4">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二级活性炭吸附</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160655</wp:posOffset>
                </wp:positionH>
                <wp:positionV relativeFrom="paragraph">
                  <wp:posOffset>42545</wp:posOffset>
                </wp:positionV>
                <wp:extent cx="1534795" cy="466090"/>
                <wp:effectExtent l="6350" t="6350" r="20955" b="22860"/>
                <wp:wrapNone/>
                <wp:docPr id="1" name="矩形 1"/>
                <wp:cNvGraphicFramePr/>
                <a:graphic xmlns:a="http://schemas.openxmlformats.org/drawingml/2006/main">
                  <a:graphicData uri="http://schemas.microsoft.com/office/word/2010/wordprocessingShape">
                    <wps:wsp>
                      <wps:cNvSpPr/>
                      <wps:spPr>
                        <a:xfrm>
                          <a:off x="925195" y="4815840"/>
                          <a:ext cx="1534795" cy="46609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EDF77F6">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塑料包装生产车间废气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5pt;margin-top:3.35pt;height:36.7pt;width:120.85pt;z-index:251669504;v-text-anchor:middle;mso-width-relative:page;mso-height-relative:page;" filled="f" stroked="t" coordsize="21600,21600" o:gfxdata="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58KdYAAAAHAQAADwAAAAAAAAABACAAAAAiAAAAZHJz&#10;L2Rvd25yZXYueG1sUEsBAhQAFAAAAAgAh07iQBFH1sh4AgAA4QQAAA4AAAAAAAAAAQAgAAAAJQEA&#10;AGRycy9lMm9Eb2MueG1sUEsFBgAAAAAGAAYAWQEAAA8GAAAAAA==&#10;">
                <v:fill on="f" focussize="0,0"/>
                <v:stroke weight="1pt" color="#000000 [3213]" miterlimit="8" joinstyle="miter"/>
                <v:imagedata o:title=""/>
                <o:lock v:ext="edit" aspectratio="f"/>
                <v:textbox>
                  <w:txbxContent>
                    <w:p w14:paraId="4EDF77F6">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塑料包装生产车间废气</w:t>
                      </w:r>
                    </w:p>
                  </w:txbxContent>
                </v:textbox>
              </v:rect>
            </w:pict>
          </mc:Fallback>
        </mc:AlternateContent>
      </w:r>
    </w:p>
    <w:p w14:paraId="7779F3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4250055</wp:posOffset>
                </wp:positionH>
                <wp:positionV relativeFrom="paragraph">
                  <wp:posOffset>60960</wp:posOffset>
                </wp:positionV>
                <wp:extent cx="995045" cy="0"/>
                <wp:effectExtent l="0" t="38100" r="14605" b="38100"/>
                <wp:wrapNone/>
                <wp:docPr id="103" name="直接箭头连接符 103"/>
                <wp:cNvGraphicFramePr/>
                <a:graphic xmlns:a="http://schemas.openxmlformats.org/drawingml/2006/main">
                  <a:graphicData uri="http://schemas.microsoft.com/office/word/2010/wordprocessingShape">
                    <wps:wsp>
                      <wps:cNvCnPr/>
                      <wps:spPr>
                        <a:xfrm>
                          <a:off x="0" y="0"/>
                          <a:ext cx="99504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34.65pt;margin-top:4.8pt;height:0pt;width:78.35pt;z-index:251672576;mso-width-relative:page;mso-height-relative:page;" filled="f" stroked="t" coordsize="21600,21600" o:gfxdata="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GCQSNQAAAAHAQAADwAA&#10;AAAAAAABACAAAAAiAAAAZHJzL2Rvd25yZXYueG1sUEsBAhQAFAAAAAgAh07iQPRNTvoaAgAADwQA&#10;AA4AAAAAAAAAAQAgAAAAIwEAAGRycy9lMm9Eb2MueG1sUEsFBgAAAAAGAAYAWQEAAK8F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1695450</wp:posOffset>
                </wp:positionH>
                <wp:positionV relativeFrom="paragraph">
                  <wp:posOffset>77470</wp:posOffset>
                </wp:positionV>
                <wp:extent cx="995045" cy="0"/>
                <wp:effectExtent l="0" t="38100" r="14605" b="38100"/>
                <wp:wrapNone/>
                <wp:docPr id="4" name="直接箭头连接符 4"/>
                <wp:cNvGraphicFramePr/>
                <a:graphic xmlns:a="http://schemas.openxmlformats.org/drawingml/2006/main">
                  <a:graphicData uri="http://schemas.microsoft.com/office/word/2010/wordprocessingShape">
                    <wps:wsp>
                      <wps:cNvCnPr>
                        <a:stCxn id="1" idx="3"/>
                      </wps:cNvCnPr>
                      <wps:spPr>
                        <a:xfrm>
                          <a:off x="2152650" y="5355590"/>
                          <a:ext cx="99504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3.5pt;margin-top:6.1pt;height:0pt;width:78.35pt;z-index:251670528;mso-width-relative:page;mso-height-relative:page;" filled="f" stroked="t" coordsize="21600,21600" o:gfxdata="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ZNB9NYAAAAJAQAADwAAAAAAAAABACAAAAAiAAAAZHJzL2Rvd25y&#10;ZXYueG1sUEsBAhQAFAAAAAgAh07iQOohYzs5AgAAPQQAAA4AAAAAAAAAAQAgAAAAJQEAAGRycy9l&#10;Mm9Eb2MueG1sUEsFBgAAAAAGAAYAWQEAANAFAAAAAA==&#10;">
                <v:fill on="f" focussize="0,0"/>
                <v:stroke weight="1pt" color="#000000 [3213]" miterlimit="8" joinstyle="miter" endarrow="block"/>
                <v:imagedata o:title=""/>
                <o:lock v:ext="edit" aspectratio="f"/>
              </v:shape>
            </w:pict>
          </mc:Fallback>
        </mc:AlternateContent>
      </w:r>
    </w:p>
    <w:p w14:paraId="2A278A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82816" behindDoc="0" locked="0" layoutInCell="1" allowOverlap="1">
                <wp:simplePos x="0" y="0"/>
                <wp:positionH relativeFrom="column">
                  <wp:posOffset>4757420</wp:posOffset>
                </wp:positionH>
                <wp:positionV relativeFrom="paragraph">
                  <wp:posOffset>67310</wp:posOffset>
                </wp:positionV>
                <wp:extent cx="1534795" cy="466090"/>
                <wp:effectExtent l="0" t="0" r="0" b="0"/>
                <wp:wrapNone/>
                <wp:docPr id="137" name="矩形 137"/>
                <wp:cNvGraphicFramePr/>
                <a:graphic xmlns:a="http://schemas.openxmlformats.org/drawingml/2006/main">
                  <a:graphicData uri="http://schemas.microsoft.com/office/word/2010/wordprocessingShape">
                    <wps:wsp>
                      <wps:cNvSpPr/>
                      <wps:spPr>
                        <a:xfrm>
                          <a:off x="0" y="0"/>
                          <a:ext cx="1534795" cy="4660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261CB6">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15mP</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6pt;margin-top:5.3pt;height:36.7pt;width:120.85pt;z-index:251682816;v-text-anchor:middle;mso-width-relative:page;mso-height-relative:page;" filled="f" stroked="f" coordsize="21600,21600" o:gfxdata="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gwHSbXAAAACQEAAA8AAAAAAAAAAQAgAAAAIgAAAGRycy9kb3ducmV2LnhtbFBLAQIUABQA&#10;AAAIAIdO4kCZ4sHEYwIAALEEAAAOAAAAAAAAAAEAIAAAACYBAABkcnMvZTJvRG9jLnhtbFBLBQYA&#10;AAAABgAGAFkBAAD7BQAAAAA=&#10;">
                <v:fill on="f" focussize="0,0"/>
                <v:stroke on="f" weight="1pt" miterlimit="8" joinstyle="miter"/>
                <v:imagedata o:title=""/>
                <o:lock v:ext="edit" aspectratio="f"/>
                <v:textbox>
                  <w:txbxContent>
                    <w:p w14:paraId="25261CB6">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15mP</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排气筒</w:t>
                      </w:r>
                    </w:p>
                  </w:txbxContent>
                </v:textbox>
              </v:rect>
            </w:pict>
          </mc:Fallback>
        </mc:AlternateContent>
      </w:r>
      <w:r>
        <w:rPr>
          <w:sz w:val="21"/>
          <w:szCs w:val="21"/>
        </w:rPr>
        <mc:AlternateContent>
          <mc:Choice Requires="wps">
            <w:drawing>
              <wp:anchor distT="0" distB="0" distL="114300" distR="114300" simplePos="0" relativeHeight="251674624" behindDoc="0" locked="0" layoutInCell="1" allowOverlap="1">
                <wp:simplePos x="0" y="0"/>
                <wp:positionH relativeFrom="column">
                  <wp:posOffset>5151755</wp:posOffset>
                </wp:positionH>
                <wp:positionV relativeFrom="paragraph">
                  <wp:posOffset>67945</wp:posOffset>
                </wp:positionV>
                <wp:extent cx="554355" cy="86360"/>
                <wp:effectExtent l="6350" t="6350" r="10795" b="21590"/>
                <wp:wrapNone/>
                <wp:docPr id="105" name="矩形 105"/>
                <wp:cNvGraphicFramePr/>
                <a:graphic xmlns:a="http://schemas.openxmlformats.org/drawingml/2006/main">
                  <a:graphicData uri="http://schemas.microsoft.com/office/word/2010/wordprocessingShape">
                    <wps:wsp>
                      <wps:cNvSpPr/>
                      <wps:spPr>
                        <a:xfrm>
                          <a:off x="0" y="0"/>
                          <a:ext cx="554355" cy="8636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65pt;margin-top:5.35pt;height:6.8pt;width:43.65pt;z-index:251674624;v-text-anchor:middle;mso-width-relative:page;mso-height-relative:page;" filled="f" stroked="t" coordsize="21600,21600" o:gfxdata="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bg3RNgAAAAJAQAADwAAAAAAAAABACAAAAAiAAAAZHJzL2Rvd25yZXYueG1sUEsB&#10;AhQAFAAAAAgAh07iQEG00VtnAgAAzQQAAA4AAAAAAAAAAQAgAAAAJwEAAGRycy9lMm9Eb2MueG1s&#10;UEsFBgAAAAAGAAYAWQEAAAAGAAAAAA==&#10;">
                <v:fill on="f" focussize="0,0"/>
                <v:stroke weight="1pt" color="#000000 [3213]" miterlimit="8" joinstyle="miter"/>
                <v:imagedata o:title=""/>
                <o:lock v:ext="edit" aspectratio="f"/>
              </v:rect>
            </w:pict>
          </mc:Fallback>
        </mc:AlternateContent>
      </w:r>
    </w:p>
    <w:p w14:paraId="3C31AB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78AA40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80768" behindDoc="0" locked="0" layoutInCell="1" allowOverlap="1">
                <wp:simplePos x="0" y="0"/>
                <wp:positionH relativeFrom="column">
                  <wp:posOffset>5397500</wp:posOffset>
                </wp:positionH>
                <wp:positionV relativeFrom="paragraph">
                  <wp:posOffset>50800</wp:posOffset>
                </wp:positionV>
                <wp:extent cx="259715" cy="623570"/>
                <wp:effectExtent l="6350" t="6350" r="19685" b="17780"/>
                <wp:wrapNone/>
                <wp:docPr id="112" name="矩形 112"/>
                <wp:cNvGraphicFramePr/>
                <a:graphic xmlns:a="http://schemas.openxmlformats.org/drawingml/2006/main">
                  <a:graphicData uri="http://schemas.microsoft.com/office/word/2010/wordprocessingShape">
                    <wps:wsp>
                      <wps:cNvSpPr/>
                      <wps:spPr>
                        <a:xfrm>
                          <a:off x="0" y="0"/>
                          <a:ext cx="259715" cy="62357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pt;margin-top:4pt;height:49.1pt;width:20.45pt;z-index:251680768;v-text-anchor:middle;mso-width-relative:page;mso-height-relative:page;" filled="f" stroked="t" coordsize="21600,21600" o:gfxdata="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N5DN/XAAAACQEAAA8AAAAAAAAAAQAgAAAAIgAAAGRycy9kb3ducmV2LnhtbFBL&#10;AQIUABQAAAAIAIdO4kD1yf30aQIAAM4EAAAOAAAAAAAAAAEAIAAAACYBAABkcnMvZTJvRG9jLnht&#10;bFBLBQYAAAAABgAGAFkBAAABBgAAAAA=&#10;">
                <v:fill on="f" focussize="0,0"/>
                <v:stroke weight="1pt" color="#000000 [3213]" miterlimit="8" joinstyle="miter"/>
                <v:imagedata o:title=""/>
                <o:lock v:ext="edit" aspectratio="f"/>
              </v:rect>
            </w:pict>
          </mc:Fallback>
        </mc:AlternateContent>
      </w:r>
    </w:p>
    <w:p w14:paraId="791B4D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2773045</wp:posOffset>
                </wp:positionH>
                <wp:positionV relativeFrom="paragraph">
                  <wp:posOffset>55245</wp:posOffset>
                </wp:positionV>
                <wp:extent cx="1534795" cy="466090"/>
                <wp:effectExtent l="6350" t="6350" r="20955" b="22860"/>
                <wp:wrapNone/>
                <wp:docPr id="110" name="矩形 110"/>
                <wp:cNvGraphicFramePr/>
                <a:graphic xmlns:a="http://schemas.openxmlformats.org/drawingml/2006/main">
                  <a:graphicData uri="http://schemas.microsoft.com/office/word/2010/wordprocessingShape">
                    <wps:wsp>
                      <wps:cNvSpPr/>
                      <wps:spPr>
                        <a:xfrm>
                          <a:off x="0" y="0"/>
                          <a:ext cx="1534795" cy="46609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0289B31">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碱喷淋+活性炭吸附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35pt;margin-top:4.35pt;height:36.7pt;width:120.85pt;z-index:251678720;v-text-anchor:middle;mso-width-relative:page;mso-height-relative:page;" filled="f" stroked="t" coordsize="21600,21600" o:gfxdata="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0djSNgAAAAIAQAADwAAAAAAAAABACAAAAAiAAAAZHJzL2Rvd25y&#10;ZXYueG1sUEsBAhQAFAAAAAgAh07iQIc9uY9wAgAA2gQAAA4AAAAAAAAAAQAgAAAAJwEAAGRycy9l&#10;Mm9Eb2MueG1sUEsFBgAAAAAGAAYAWQEAAAkGAAAAAA==&#10;">
                <v:fill on="f" focussize="0,0"/>
                <v:stroke weight="1pt" color="#000000 [3213]" miterlimit="8" joinstyle="miter"/>
                <v:imagedata o:title=""/>
                <o:lock v:ext="edit" aspectratio="f"/>
                <v:textbox>
                  <w:txbxContent>
                    <w:p w14:paraId="20289B31">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碱喷淋+活性炭吸附</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207010</wp:posOffset>
                </wp:positionH>
                <wp:positionV relativeFrom="paragraph">
                  <wp:posOffset>40005</wp:posOffset>
                </wp:positionV>
                <wp:extent cx="1534795" cy="466090"/>
                <wp:effectExtent l="6350" t="6350" r="20955" b="22860"/>
                <wp:wrapNone/>
                <wp:docPr id="107" name="矩形 107"/>
                <wp:cNvGraphicFramePr/>
                <a:graphic xmlns:a="http://schemas.openxmlformats.org/drawingml/2006/main">
                  <a:graphicData uri="http://schemas.microsoft.com/office/word/2010/wordprocessingShape">
                    <wps:wsp>
                      <wps:cNvSpPr/>
                      <wps:spPr>
                        <a:xfrm>
                          <a:off x="0" y="0"/>
                          <a:ext cx="1534795" cy="46609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6A9E12D">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醋酸生产车间废气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pt;margin-top:3.15pt;height:36.7pt;width:120.85pt;z-index:251676672;v-text-anchor:middle;mso-width-relative:page;mso-height-relative:page;" filled="f" stroked="t" coordsize="21600,21600" o:gfxdata="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lZ3H9YAAAAHAQAADwAAAAAAAAABACAAAAAiAAAAZHJzL2Rvd25y&#10;ZXYueG1sUEsBAhQAFAAAAAgAh07iQFPUQLlyAgAA2gQAAA4AAAAAAAAAAQAgAAAAJQEAAGRycy9l&#10;Mm9Eb2MueG1sUEsFBgAAAAAGAAYAWQEAAAkGAAAAAA==&#10;">
                <v:fill on="f" focussize="0,0"/>
                <v:stroke weight="1pt" color="#000000 [3213]" miterlimit="8" joinstyle="miter"/>
                <v:imagedata o:title=""/>
                <o:lock v:ext="edit" aspectratio="f"/>
                <v:textbox>
                  <w:txbxContent>
                    <w:p w14:paraId="26A9E12D">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醋酸生产车间废气</w:t>
                      </w:r>
                    </w:p>
                  </w:txbxContent>
                </v:textbox>
              </v:rect>
            </w:pict>
          </mc:Fallback>
        </mc:AlternateContent>
      </w:r>
    </w:p>
    <w:p w14:paraId="49A34A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4318000</wp:posOffset>
                </wp:positionH>
                <wp:positionV relativeFrom="paragraph">
                  <wp:posOffset>38100</wp:posOffset>
                </wp:positionV>
                <wp:extent cx="995045" cy="0"/>
                <wp:effectExtent l="0" t="38100" r="14605" b="38100"/>
                <wp:wrapNone/>
                <wp:docPr id="111" name="直接箭头连接符 111"/>
                <wp:cNvGraphicFramePr/>
                <a:graphic xmlns:a="http://schemas.openxmlformats.org/drawingml/2006/main">
                  <a:graphicData uri="http://schemas.microsoft.com/office/word/2010/wordprocessingShape">
                    <wps:wsp>
                      <wps:cNvCnPr/>
                      <wps:spPr>
                        <a:xfrm>
                          <a:off x="0" y="0"/>
                          <a:ext cx="99504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0pt;margin-top:3pt;height:0pt;width:78.35pt;z-index:251679744;mso-width-relative:page;mso-height-relative:page;" filled="f" stroked="t" coordsize="21600,21600" o:gfxdata="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vhhszVAAAABwEAAA8A&#10;AAAAAAAAAQAgAAAAIgAAAGRycy9kb3ducmV2LnhtbFBLAQIUABQAAAAIAIdO4kCzY4YxGgIAAA8E&#10;AAAOAAAAAAAAAAEAIAAAACQBAABkcnMvZTJvRG9jLnhtbFBLBQYAAAAABgAGAFkBAACw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1774190</wp:posOffset>
                </wp:positionH>
                <wp:positionV relativeFrom="paragraph">
                  <wp:posOffset>85725</wp:posOffset>
                </wp:positionV>
                <wp:extent cx="995045" cy="0"/>
                <wp:effectExtent l="0" t="38100" r="14605" b="38100"/>
                <wp:wrapNone/>
                <wp:docPr id="109" name="直接箭头连接符 109"/>
                <wp:cNvGraphicFramePr/>
                <a:graphic xmlns:a="http://schemas.openxmlformats.org/drawingml/2006/main">
                  <a:graphicData uri="http://schemas.microsoft.com/office/word/2010/wordprocessingShape">
                    <wps:wsp>
                      <wps:cNvCnPr/>
                      <wps:spPr>
                        <a:xfrm>
                          <a:off x="0" y="0"/>
                          <a:ext cx="99504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9.7pt;margin-top:6.75pt;height:0pt;width:78.35pt;z-index:251677696;mso-width-relative:page;mso-height-relative:page;" filled="f" stroked="t" coordsize="21600,21600" o:gfxdata="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kx9a9cAAAAJAQAA&#10;DwAAAAAAAAABACAAAAAiAAAAZHJzL2Rvd25yZXYueG1sUEsBAhQAFAAAAAgAh07iQDamC38aAgAA&#10;DwQAAA4AAAAAAAAAAQAgAAAAJgEAAGRycy9lMm9Eb2MueG1sUEsFBgAAAAAGAAYAWQEAALIFAAAA&#10;AA==&#10;">
                <v:fill on="f" focussize="0,0"/>
                <v:stroke weight="1pt" color="#000000 [3213]" miterlimit="8" joinstyle="miter" endarrow="block"/>
                <v:imagedata o:title=""/>
                <o:lock v:ext="edit" aspectratio="f"/>
              </v:shape>
            </w:pict>
          </mc:Fallback>
        </mc:AlternateContent>
      </w:r>
    </w:p>
    <w:p w14:paraId="5E0DBC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sz w:val="21"/>
          <w:szCs w:val="21"/>
        </w:rPr>
        <mc:AlternateContent>
          <mc:Choice Requires="wps">
            <w:drawing>
              <wp:anchor distT="0" distB="0" distL="114300" distR="114300" simplePos="0" relativeHeight="251681792" behindDoc="0" locked="0" layoutInCell="1" allowOverlap="1">
                <wp:simplePos x="0" y="0"/>
                <wp:positionH relativeFrom="column">
                  <wp:posOffset>5229860</wp:posOffset>
                </wp:positionH>
                <wp:positionV relativeFrom="paragraph">
                  <wp:posOffset>97790</wp:posOffset>
                </wp:positionV>
                <wp:extent cx="554355" cy="86360"/>
                <wp:effectExtent l="6350" t="6350" r="10795" b="21590"/>
                <wp:wrapNone/>
                <wp:docPr id="136" name="矩形 136"/>
                <wp:cNvGraphicFramePr/>
                <a:graphic xmlns:a="http://schemas.openxmlformats.org/drawingml/2006/main">
                  <a:graphicData uri="http://schemas.microsoft.com/office/word/2010/wordprocessingShape">
                    <wps:wsp>
                      <wps:cNvSpPr/>
                      <wps:spPr>
                        <a:xfrm>
                          <a:off x="0" y="0"/>
                          <a:ext cx="554355" cy="8636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8pt;margin-top:7.7pt;height:6.8pt;width:43.65pt;z-index:251681792;v-text-anchor:middle;mso-width-relative:page;mso-height-relative:page;" filled="f" stroked="t" coordsize="21600,21600" o:gfxdata="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3+4ytgAAAAJAQAADwAAAAAAAAABACAAAAAiAAAAZHJzL2Rvd25yZXYueG1sUEsB&#10;AhQAFAAAAAgAh07iQB8/jDZnAgAAzQQAAA4AAAAAAAAAAQAgAAAAJwEAAGRycy9lMm9Eb2MueG1s&#10;UEsFBgAAAAAGAAYAWQEAAAAGAAAAAA==&#10;">
                <v:fill on="f" focussize="0,0"/>
                <v:stroke weight="1pt" color="#000000 [3213]" miterlimit="8" joinstyle="miter"/>
                <v:imagedata o:title=""/>
                <o:lock v:ext="edit" aspectratio="f"/>
              </v:rect>
            </w:pict>
          </mc:Fallback>
        </mc:AlternateContent>
      </w:r>
    </w:p>
    <w:p w14:paraId="5C9953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4BC097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7C3AE5B6">
      <w:pPr>
        <w:spacing w:line="360" w:lineRule="auto"/>
        <w:jc w:val="center"/>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图4-1废气处理示意图</w:t>
      </w:r>
    </w:p>
    <w:p w14:paraId="373BDDB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7E7B68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2131EDC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45ACAB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p>
    <w:p w14:paraId="38984FE8">
      <w:pPr>
        <w:pStyle w:val="2"/>
        <w:rPr>
          <w:rFonts w:hint="default" w:ascii="Times New Roman" w:hAnsi="Times New Roman" w:eastAsia="宋体" w:cs="Times New Roman"/>
          <w:b w:val="0"/>
          <w:bCs w:val="0"/>
          <w:color w:val="000000"/>
          <w:sz w:val="24"/>
          <w:szCs w:val="24"/>
        </w:rPr>
      </w:pPr>
    </w:p>
    <w:p w14:paraId="54F25CD6">
      <w:pPr>
        <w:rPr>
          <w:rFonts w:hint="default" w:ascii="Times New Roman" w:hAnsi="Times New Roman" w:eastAsia="宋体" w:cs="Times New Roman"/>
          <w:b w:val="0"/>
          <w:bCs w:val="0"/>
          <w:color w:val="000000"/>
          <w:sz w:val="24"/>
          <w:szCs w:val="24"/>
        </w:rPr>
      </w:pPr>
    </w:p>
    <w:p w14:paraId="63545098">
      <w:pPr>
        <w:pStyle w:val="2"/>
        <w:rPr>
          <w:rFonts w:hint="default" w:ascii="Times New Roman" w:hAnsi="Times New Roman" w:eastAsia="宋体" w:cs="Times New Roman"/>
          <w:b w:val="0"/>
          <w:bCs w:val="0"/>
          <w:color w:val="000000"/>
          <w:sz w:val="24"/>
          <w:szCs w:val="24"/>
        </w:rPr>
      </w:pPr>
    </w:p>
    <w:p w14:paraId="329D9E19">
      <w:pPr>
        <w:rPr>
          <w:rFonts w:hint="default" w:ascii="Times New Roman" w:hAnsi="Times New Roman" w:eastAsia="宋体" w:cs="Times New Roman"/>
          <w:b w:val="0"/>
          <w:bCs w:val="0"/>
          <w:color w:val="000000"/>
          <w:sz w:val="24"/>
          <w:szCs w:val="24"/>
        </w:rPr>
      </w:pPr>
    </w:p>
    <w:p w14:paraId="761CF227">
      <w:pPr>
        <w:pStyle w:val="2"/>
        <w:rPr>
          <w:rFonts w:hint="default" w:ascii="Times New Roman" w:hAnsi="Times New Roman" w:eastAsia="宋体" w:cs="Times New Roman"/>
          <w:b w:val="0"/>
          <w:bCs w:val="0"/>
          <w:color w:val="000000"/>
          <w:sz w:val="24"/>
          <w:szCs w:val="24"/>
        </w:rPr>
      </w:pPr>
    </w:p>
    <w:p w14:paraId="4E33CF7E">
      <w:pPr>
        <w:rPr>
          <w:rFonts w:hint="default" w:ascii="Times New Roman" w:hAnsi="Times New Roman" w:eastAsia="宋体" w:cs="Times New Roman"/>
          <w:b w:val="0"/>
          <w:bCs w:val="0"/>
          <w:color w:val="000000"/>
          <w:sz w:val="24"/>
          <w:szCs w:val="24"/>
        </w:rPr>
      </w:pPr>
    </w:p>
    <w:p w14:paraId="52F11D7E">
      <w:pPr>
        <w:pStyle w:val="2"/>
        <w:rPr>
          <w:rFonts w:hint="default" w:ascii="Times New Roman" w:hAnsi="Times New Roman" w:eastAsia="宋体" w:cs="Times New Roman"/>
          <w:b w:val="0"/>
          <w:bCs w:val="0"/>
          <w:color w:val="000000"/>
          <w:sz w:val="24"/>
          <w:szCs w:val="24"/>
        </w:rPr>
      </w:pPr>
    </w:p>
    <w:p w14:paraId="55D7D861">
      <w:pPr>
        <w:rPr>
          <w:rFonts w:hint="default" w:ascii="Times New Roman" w:hAnsi="Times New Roman" w:eastAsia="宋体" w:cs="Times New Roman"/>
          <w:b w:val="0"/>
          <w:bCs w:val="0"/>
          <w:color w:val="000000"/>
          <w:sz w:val="24"/>
          <w:szCs w:val="24"/>
        </w:rPr>
      </w:pPr>
    </w:p>
    <w:p w14:paraId="716B9AF6">
      <w:pPr>
        <w:pStyle w:val="2"/>
        <w:rPr>
          <w:rFonts w:hint="default" w:ascii="Times New Roman" w:hAnsi="Times New Roman" w:eastAsia="宋体" w:cs="Times New Roman"/>
          <w:b w:val="0"/>
          <w:bCs w:val="0"/>
          <w:color w:val="000000"/>
          <w:sz w:val="24"/>
          <w:szCs w:val="24"/>
        </w:rPr>
      </w:pPr>
    </w:p>
    <w:p w14:paraId="5525DB52">
      <w:pPr>
        <w:rPr>
          <w:rFonts w:hint="default" w:ascii="Times New Roman" w:hAnsi="Times New Roman" w:eastAsia="宋体" w:cs="Times New Roman"/>
          <w:b w:val="0"/>
          <w:bCs w:val="0"/>
          <w:color w:val="000000"/>
          <w:sz w:val="24"/>
          <w:szCs w:val="24"/>
        </w:rPr>
      </w:pPr>
    </w:p>
    <w:p w14:paraId="6970F1D1">
      <w:pPr>
        <w:pStyle w:val="2"/>
        <w:rPr>
          <w:rFonts w:hint="default" w:ascii="Times New Roman" w:hAnsi="Times New Roman" w:eastAsia="宋体" w:cs="Times New Roman"/>
          <w:b w:val="0"/>
          <w:bCs w:val="0"/>
          <w:color w:val="000000"/>
          <w:sz w:val="24"/>
          <w:szCs w:val="24"/>
        </w:rPr>
      </w:pPr>
    </w:p>
    <w:p w14:paraId="1FEB9C46">
      <w:pPr>
        <w:rPr>
          <w:rFonts w:hint="default" w:ascii="Times New Roman" w:hAnsi="Times New Roman" w:eastAsia="宋体" w:cs="Times New Roman"/>
          <w:b w:val="0"/>
          <w:bCs w:val="0"/>
          <w:color w:val="000000"/>
          <w:sz w:val="24"/>
          <w:szCs w:val="24"/>
        </w:rPr>
      </w:pPr>
    </w:p>
    <w:p w14:paraId="7598C261">
      <w:pPr>
        <w:pStyle w:val="2"/>
        <w:rPr>
          <w:rFonts w:hint="default" w:ascii="Times New Roman" w:hAnsi="Times New Roman" w:eastAsia="宋体" w:cs="Times New Roman"/>
          <w:b w:val="0"/>
          <w:bCs w:val="0"/>
          <w:color w:val="000000"/>
          <w:sz w:val="24"/>
          <w:szCs w:val="24"/>
        </w:rPr>
      </w:pPr>
    </w:p>
    <w:p w14:paraId="5838EE74">
      <w:pPr>
        <w:rPr>
          <w:rFonts w:hint="default" w:ascii="Times New Roman" w:hAnsi="Times New Roman" w:eastAsia="宋体" w:cs="Times New Roman"/>
          <w:b w:val="0"/>
          <w:bCs w:val="0"/>
          <w:color w:val="000000"/>
          <w:sz w:val="24"/>
          <w:szCs w:val="24"/>
        </w:rPr>
      </w:pPr>
    </w:p>
    <w:p w14:paraId="24DD12B1">
      <w:pPr>
        <w:pStyle w:val="2"/>
        <w:rPr>
          <w:rFonts w:hint="default" w:ascii="Times New Roman" w:hAnsi="Times New Roman" w:eastAsia="宋体" w:cs="Times New Roman"/>
          <w:b w:val="0"/>
          <w:bCs w:val="0"/>
          <w:color w:val="000000"/>
          <w:sz w:val="24"/>
          <w:szCs w:val="24"/>
        </w:rPr>
      </w:pPr>
    </w:p>
    <w:p w14:paraId="6A0A8D90">
      <w:pPr>
        <w:rPr>
          <w:rFonts w:hint="default" w:ascii="Times New Roman" w:hAnsi="Times New Roman" w:eastAsia="宋体" w:cs="Times New Roman"/>
          <w:b w:val="0"/>
          <w:bCs w:val="0"/>
          <w:color w:val="000000"/>
          <w:sz w:val="24"/>
          <w:szCs w:val="24"/>
        </w:rPr>
      </w:pPr>
    </w:p>
    <w:p w14:paraId="03661CF5">
      <w:pPr>
        <w:pStyle w:val="2"/>
        <w:rPr>
          <w:rFonts w:hint="default"/>
        </w:rPr>
      </w:pPr>
    </w:p>
    <w:p w14:paraId="21410B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项目现场环保设施见图4-</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rPr>
        <w:t>。</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4702"/>
      </w:tblGrid>
      <w:tr w14:paraId="3ED6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pct"/>
          </w:tcPr>
          <w:p w14:paraId="31C600EC">
            <w:pPr>
              <w:rPr>
                <w:rFonts w:hint="eastAsia"/>
                <w:lang w:val="en-US" w:eastAsia="zh-CN"/>
              </w:rPr>
            </w:pPr>
            <w:r>
              <w:rPr>
                <w:rFonts w:hint="eastAsia"/>
                <w:lang w:val="en-US" w:eastAsia="zh-CN"/>
              </w:rPr>
              <w:drawing>
                <wp:inline distT="0" distB="0" distL="114300" distR="114300">
                  <wp:extent cx="2783205" cy="3312795"/>
                  <wp:effectExtent l="0" t="0" r="17145" b="1905"/>
                  <wp:docPr id="150" name="图片 150" descr="9fabd6c8d4d8f62913f84ce1caf9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9fabd6c8d4d8f62913f84ce1caf901f"/>
                          <pic:cNvPicPr>
                            <a:picLocks noChangeAspect="1"/>
                          </pic:cNvPicPr>
                        </pic:nvPicPr>
                        <pic:blipFill>
                          <a:blip r:embed="rId24"/>
                          <a:stretch>
                            <a:fillRect/>
                          </a:stretch>
                        </pic:blipFill>
                        <pic:spPr>
                          <a:xfrm>
                            <a:off x="0" y="0"/>
                            <a:ext cx="2783205" cy="3312795"/>
                          </a:xfrm>
                          <a:prstGeom prst="rect">
                            <a:avLst/>
                          </a:prstGeom>
                        </pic:spPr>
                      </pic:pic>
                    </a:graphicData>
                  </a:graphic>
                </wp:inline>
              </w:drawing>
            </w:r>
          </w:p>
        </w:tc>
        <w:tc>
          <w:tcPr>
            <w:tcW w:w="2561" w:type="pct"/>
          </w:tcPr>
          <w:p w14:paraId="77C0DB40">
            <w:pPr>
              <w:rPr>
                <w:rFonts w:hint="eastAsia"/>
                <w:lang w:val="en-US" w:eastAsia="zh-CN"/>
              </w:rPr>
            </w:pPr>
            <w:r>
              <w:rPr>
                <w:rFonts w:hint="eastAsia"/>
                <w:lang w:val="en-US" w:eastAsia="zh-CN"/>
              </w:rPr>
              <w:drawing>
                <wp:inline distT="0" distB="0" distL="114300" distR="114300">
                  <wp:extent cx="2847975" cy="3302000"/>
                  <wp:effectExtent l="0" t="0" r="9525" b="12700"/>
                  <wp:docPr id="155" name="图片 155" descr="481dd659082935fce08a8e2d5468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81dd659082935fce08a8e2d54681ea"/>
                          <pic:cNvPicPr>
                            <a:picLocks noChangeAspect="1"/>
                          </pic:cNvPicPr>
                        </pic:nvPicPr>
                        <pic:blipFill>
                          <a:blip r:embed="rId25"/>
                          <a:stretch>
                            <a:fillRect/>
                          </a:stretch>
                        </pic:blipFill>
                        <pic:spPr>
                          <a:xfrm>
                            <a:off x="0" y="0"/>
                            <a:ext cx="2847975" cy="3302000"/>
                          </a:xfrm>
                          <a:prstGeom prst="rect">
                            <a:avLst/>
                          </a:prstGeom>
                        </pic:spPr>
                      </pic:pic>
                    </a:graphicData>
                  </a:graphic>
                </wp:inline>
              </w:drawing>
            </w:r>
          </w:p>
        </w:tc>
      </w:tr>
      <w:tr w14:paraId="6FA6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8" w:type="pct"/>
            <w:vAlign w:val="center"/>
          </w:tcPr>
          <w:p w14:paraId="57BE54D8">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噪声防护设备</w:t>
            </w:r>
          </w:p>
        </w:tc>
        <w:tc>
          <w:tcPr>
            <w:tcW w:w="2561" w:type="pct"/>
            <w:vAlign w:val="center"/>
          </w:tcPr>
          <w:p w14:paraId="168F48D5">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P1排气筒监测平台</w:t>
            </w:r>
          </w:p>
        </w:tc>
      </w:tr>
      <w:tr w14:paraId="7C8E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2438" w:type="pct"/>
          </w:tcPr>
          <w:p w14:paraId="6A3A3065">
            <w:pPr>
              <w:pStyle w:val="28"/>
              <w:jc w:val="both"/>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691765" cy="3589020"/>
                  <wp:effectExtent l="0" t="0" r="13335" b="11430"/>
                  <wp:docPr id="161" name="图片 161" descr="daf3f8542d904aada384a2240f21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daf3f8542d904aada384a2240f2124a"/>
                          <pic:cNvPicPr>
                            <a:picLocks noChangeAspect="1"/>
                          </pic:cNvPicPr>
                        </pic:nvPicPr>
                        <pic:blipFill>
                          <a:blip r:embed="rId26"/>
                          <a:stretch>
                            <a:fillRect/>
                          </a:stretch>
                        </pic:blipFill>
                        <pic:spPr>
                          <a:xfrm>
                            <a:off x="0" y="0"/>
                            <a:ext cx="2691765" cy="3589020"/>
                          </a:xfrm>
                          <a:prstGeom prst="rect">
                            <a:avLst/>
                          </a:prstGeom>
                        </pic:spPr>
                      </pic:pic>
                    </a:graphicData>
                  </a:graphic>
                </wp:inline>
              </w:drawing>
            </w:r>
          </w:p>
        </w:tc>
        <w:tc>
          <w:tcPr>
            <w:tcW w:w="2561" w:type="pct"/>
          </w:tcPr>
          <w:p w14:paraId="52F27326">
            <w:pPr>
              <w:pStyle w:val="28"/>
              <w:jc w:val="both"/>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861310" cy="3497580"/>
                  <wp:effectExtent l="0" t="0" r="15240" b="7620"/>
                  <wp:docPr id="160" name="图片 160" descr="973c26368dbb1c71662dc58ba8ae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973c26368dbb1c71662dc58ba8ae8c2"/>
                          <pic:cNvPicPr>
                            <a:picLocks noChangeAspect="1"/>
                          </pic:cNvPicPr>
                        </pic:nvPicPr>
                        <pic:blipFill>
                          <a:blip r:embed="rId27"/>
                          <a:stretch>
                            <a:fillRect/>
                          </a:stretch>
                        </pic:blipFill>
                        <pic:spPr>
                          <a:xfrm>
                            <a:off x="0" y="0"/>
                            <a:ext cx="2861310" cy="3497580"/>
                          </a:xfrm>
                          <a:prstGeom prst="rect">
                            <a:avLst/>
                          </a:prstGeom>
                        </pic:spPr>
                      </pic:pic>
                    </a:graphicData>
                  </a:graphic>
                </wp:inline>
              </w:drawing>
            </w:r>
          </w:p>
        </w:tc>
      </w:tr>
      <w:tr w14:paraId="6226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8" w:type="pct"/>
            <w:vAlign w:val="center"/>
          </w:tcPr>
          <w:p w14:paraId="6811CB9C">
            <w:pPr>
              <w:pStyle w:val="28"/>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eastAsia="宋体" w:cs="Times New Roman"/>
                <w:color w:val="000000"/>
                <w:sz w:val="21"/>
                <w:szCs w:val="21"/>
                <w:vertAlign w:val="baseline"/>
                <w:lang w:val="en-US" w:eastAsia="zh-CN"/>
              </w:rPr>
              <w:t>车间集气罩</w:t>
            </w:r>
          </w:p>
        </w:tc>
        <w:tc>
          <w:tcPr>
            <w:tcW w:w="2561" w:type="pct"/>
            <w:vAlign w:val="center"/>
          </w:tcPr>
          <w:p w14:paraId="1FEEC92B">
            <w:pPr>
              <w:pStyle w:val="28"/>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eastAsia="宋体" w:cs="Times New Roman"/>
                <w:color w:val="000000"/>
                <w:sz w:val="21"/>
                <w:szCs w:val="21"/>
                <w:vertAlign w:val="baseline"/>
                <w:lang w:val="en-US" w:eastAsia="zh-CN"/>
              </w:rPr>
              <w:t>二级活性炭设备</w:t>
            </w:r>
          </w:p>
        </w:tc>
      </w:tr>
      <w:tr w14:paraId="70F6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9" w:hRule="atLeast"/>
        </w:trPr>
        <w:tc>
          <w:tcPr>
            <w:tcW w:w="2438" w:type="pct"/>
            <w:vAlign w:val="center"/>
          </w:tcPr>
          <w:p w14:paraId="1CD27E9A">
            <w:pPr>
              <w:pStyle w:val="28"/>
              <w:jc w:val="center"/>
              <w:rPr>
                <w:rFonts w:hint="eastAsia" w:ascii="Times New Roman" w:eastAsia="宋体" w:cs="Times New Roman"/>
                <w:color w:val="000000"/>
                <w:sz w:val="24"/>
                <w:szCs w:val="28"/>
                <w:vertAlign w:val="baseline"/>
                <w:lang w:val="en-US" w:eastAsia="zh-CN"/>
              </w:rPr>
            </w:pPr>
            <w:r>
              <w:rPr>
                <w:rFonts w:hint="eastAsia" w:ascii="Times New Roman" w:eastAsia="宋体" w:cs="Times New Roman"/>
                <w:color w:val="000000"/>
                <w:sz w:val="24"/>
                <w:szCs w:val="28"/>
                <w:vertAlign w:val="baseline"/>
                <w:lang w:val="en-US" w:eastAsia="zh-CN"/>
              </w:rPr>
              <w:drawing>
                <wp:inline distT="0" distB="0" distL="114300" distR="114300">
                  <wp:extent cx="2773680" cy="3698240"/>
                  <wp:effectExtent l="0" t="0" r="7620" b="16510"/>
                  <wp:docPr id="162" name="图片 162" descr="6455bfd960e511d11ee08059fb85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6455bfd960e511d11ee08059fb85c8f"/>
                          <pic:cNvPicPr>
                            <a:picLocks noChangeAspect="1"/>
                          </pic:cNvPicPr>
                        </pic:nvPicPr>
                        <pic:blipFill>
                          <a:blip r:embed="rId28"/>
                          <a:stretch>
                            <a:fillRect/>
                          </a:stretch>
                        </pic:blipFill>
                        <pic:spPr>
                          <a:xfrm>
                            <a:off x="0" y="0"/>
                            <a:ext cx="2773680" cy="3698240"/>
                          </a:xfrm>
                          <a:prstGeom prst="rect">
                            <a:avLst/>
                          </a:prstGeom>
                        </pic:spPr>
                      </pic:pic>
                    </a:graphicData>
                  </a:graphic>
                </wp:inline>
              </w:drawing>
            </w:r>
          </w:p>
        </w:tc>
        <w:tc>
          <w:tcPr>
            <w:tcW w:w="2561" w:type="pct"/>
            <w:vAlign w:val="center"/>
          </w:tcPr>
          <w:p w14:paraId="5C1F47E7">
            <w:pPr>
              <w:pStyle w:val="28"/>
              <w:jc w:val="center"/>
              <w:rPr>
                <w:rFonts w:hint="eastAsia" w:ascii="Times New Roman" w:eastAsia="宋体" w:cs="Times New Roman"/>
                <w:color w:val="000000"/>
                <w:sz w:val="24"/>
                <w:szCs w:val="28"/>
                <w:vertAlign w:val="baseline"/>
                <w:lang w:val="en-US" w:eastAsia="zh-CN"/>
              </w:rPr>
            </w:pPr>
            <w:r>
              <w:rPr>
                <w:rFonts w:hint="eastAsia" w:ascii="Times New Roman" w:eastAsia="宋体" w:cs="Times New Roman"/>
                <w:color w:val="000000"/>
                <w:sz w:val="24"/>
                <w:szCs w:val="28"/>
                <w:vertAlign w:val="baseline"/>
                <w:lang w:val="en-US" w:eastAsia="zh-CN"/>
              </w:rPr>
              <w:drawing>
                <wp:inline distT="0" distB="0" distL="114300" distR="114300">
                  <wp:extent cx="2848610" cy="3799205"/>
                  <wp:effectExtent l="0" t="0" r="8890" b="10795"/>
                  <wp:docPr id="163" name="图片 163" descr="ec0f21198a97158be5ac438b0c80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ec0f21198a97158be5ac438b0c800a5"/>
                          <pic:cNvPicPr>
                            <a:picLocks noChangeAspect="1"/>
                          </pic:cNvPicPr>
                        </pic:nvPicPr>
                        <pic:blipFill>
                          <a:blip r:embed="rId29"/>
                          <a:stretch>
                            <a:fillRect/>
                          </a:stretch>
                        </pic:blipFill>
                        <pic:spPr>
                          <a:xfrm>
                            <a:off x="0" y="0"/>
                            <a:ext cx="2848610" cy="3799205"/>
                          </a:xfrm>
                          <a:prstGeom prst="rect">
                            <a:avLst/>
                          </a:prstGeom>
                        </pic:spPr>
                      </pic:pic>
                    </a:graphicData>
                  </a:graphic>
                </wp:inline>
              </w:drawing>
            </w:r>
          </w:p>
        </w:tc>
      </w:tr>
      <w:tr w14:paraId="432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8" w:type="pct"/>
            <w:vAlign w:val="center"/>
          </w:tcPr>
          <w:p w14:paraId="23D7F3B3">
            <w:pPr>
              <w:pStyle w:val="28"/>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eastAsia="宋体" w:cs="Times New Roman"/>
                <w:kern w:val="2"/>
                <w:sz w:val="21"/>
                <w:szCs w:val="21"/>
                <w:lang w:val="en-US" w:eastAsia="zh-CN" w:bidi="ar-SA"/>
              </w:rPr>
              <w:t>碱喷淋装置</w:t>
            </w:r>
          </w:p>
        </w:tc>
        <w:tc>
          <w:tcPr>
            <w:tcW w:w="2561" w:type="pct"/>
            <w:vAlign w:val="center"/>
          </w:tcPr>
          <w:p w14:paraId="194CC4D0">
            <w:pPr>
              <w:pStyle w:val="28"/>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排气筒P2</w:t>
            </w:r>
          </w:p>
        </w:tc>
      </w:tr>
      <w:tr w14:paraId="22A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8" w:type="pct"/>
            <w:vAlign w:val="center"/>
          </w:tcPr>
          <w:p w14:paraId="69EE2D27">
            <w:pPr>
              <w:pStyle w:val="28"/>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drawing>
                <wp:inline distT="0" distB="0" distL="114300" distR="114300">
                  <wp:extent cx="2770505" cy="2992120"/>
                  <wp:effectExtent l="0" t="0" r="10795" b="17780"/>
                  <wp:docPr id="165" name="图片 165" descr="6f325eff1a60562c912d932b9398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6f325eff1a60562c912d932b939880d"/>
                          <pic:cNvPicPr>
                            <a:picLocks noChangeAspect="1"/>
                          </pic:cNvPicPr>
                        </pic:nvPicPr>
                        <pic:blipFill>
                          <a:blip r:embed="rId30"/>
                          <a:stretch>
                            <a:fillRect/>
                          </a:stretch>
                        </pic:blipFill>
                        <pic:spPr>
                          <a:xfrm>
                            <a:off x="0" y="0"/>
                            <a:ext cx="2770505" cy="2992120"/>
                          </a:xfrm>
                          <a:prstGeom prst="rect">
                            <a:avLst/>
                          </a:prstGeom>
                        </pic:spPr>
                      </pic:pic>
                    </a:graphicData>
                  </a:graphic>
                </wp:inline>
              </w:drawing>
            </w:r>
          </w:p>
        </w:tc>
        <w:tc>
          <w:tcPr>
            <w:tcW w:w="2561" w:type="pct"/>
            <w:vAlign w:val="center"/>
          </w:tcPr>
          <w:p w14:paraId="536876B8">
            <w:pPr>
              <w:pStyle w:val="28"/>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drawing>
                <wp:inline distT="0" distB="0" distL="114300" distR="114300">
                  <wp:extent cx="2840990" cy="2644775"/>
                  <wp:effectExtent l="0" t="0" r="16510" b="3175"/>
                  <wp:docPr id="166" name="图片 166" descr="69048c228fdc53b58be629f0fc5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69048c228fdc53b58be629f0fc575ac"/>
                          <pic:cNvPicPr>
                            <a:picLocks noChangeAspect="1"/>
                          </pic:cNvPicPr>
                        </pic:nvPicPr>
                        <pic:blipFill>
                          <a:blip r:embed="rId31"/>
                          <a:stretch>
                            <a:fillRect/>
                          </a:stretch>
                        </pic:blipFill>
                        <pic:spPr>
                          <a:xfrm>
                            <a:off x="0" y="0"/>
                            <a:ext cx="2840990" cy="2644775"/>
                          </a:xfrm>
                          <a:prstGeom prst="rect">
                            <a:avLst/>
                          </a:prstGeom>
                        </pic:spPr>
                      </pic:pic>
                    </a:graphicData>
                  </a:graphic>
                </wp:inline>
              </w:drawing>
            </w:r>
          </w:p>
        </w:tc>
      </w:tr>
      <w:tr w14:paraId="758A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8" w:type="pct"/>
            <w:vAlign w:val="center"/>
          </w:tcPr>
          <w:p w14:paraId="65BB43F0">
            <w:pPr>
              <w:pStyle w:val="28"/>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危废暂存间</w:t>
            </w:r>
          </w:p>
        </w:tc>
        <w:tc>
          <w:tcPr>
            <w:tcW w:w="2561" w:type="pct"/>
            <w:vAlign w:val="center"/>
          </w:tcPr>
          <w:p w14:paraId="2C936B88">
            <w:pPr>
              <w:pStyle w:val="28"/>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eastAsia="宋体" w:cs="Times New Roman"/>
                <w:kern w:val="2"/>
                <w:sz w:val="21"/>
                <w:szCs w:val="21"/>
                <w:lang w:val="en-US" w:eastAsia="zh-CN" w:bidi="ar-SA"/>
              </w:rPr>
              <w:t>污水排放口</w:t>
            </w:r>
          </w:p>
        </w:tc>
      </w:tr>
    </w:tbl>
    <w:p w14:paraId="02BF38C0">
      <w:pPr>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mc:AlternateContent>
          <mc:Choice Requires="wps">
            <w:drawing>
              <wp:anchor distT="0" distB="0" distL="114300" distR="114300" simplePos="0" relativeHeight="251659264" behindDoc="0" locked="0" layoutInCell="1" allowOverlap="1">
                <wp:simplePos x="0" y="0"/>
                <wp:positionH relativeFrom="margin">
                  <wp:posOffset>1616075</wp:posOffset>
                </wp:positionH>
                <wp:positionV relativeFrom="paragraph">
                  <wp:posOffset>90805</wp:posOffset>
                </wp:positionV>
                <wp:extent cx="3133725" cy="323850"/>
                <wp:effectExtent l="0" t="0" r="9525" b="0"/>
                <wp:wrapNone/>
                <wp:docPr id="25" name="文本框 2"/>
                <wp:cNvGraphicFramePr/>
                <a:graphic xmlns:a="http://schemas.openxmlformats.org/drawingml/2006/main">
                  <a:graphicData uri="http://schemas.microsoft.com/office/word/2010/wordprocessingShape">
                    <wps:wsp>
                      <wps:cNvSpPr txBox="1"/>
                      <wps:spPr>
                        <a:xfrm>
                          <a:off x="0" y="0"/>
                          <a:ext cx="3133725" cy="323850"/>
                        </a:xfrm>
                        <a:prstGeom prst="rect">
                          <a:avLst/>
                        </a:prstGeom>
                        <a:solidFill>
                          <a:srgbClr val="FFFFFF"/>
                        </a:solidFill>
                        <a:ln w="6350">
                          <a:noFill/>
                        </a:ln>
                      </wps:spPr>
                      <wps:txbx>
                        <w:txbxContent>
                          <w:p w14:paraId="55F5B7E2">
                            <w:pPr>
                              <w:pStyle w:val="3"/>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wps:txbx>
                      <wps:bodyPr upright="1"/>
                    </wps:wsp>
                  </a:graphicData>
                </a:graphic>
              </wp:anchor>
            </w:drawing>
          </mc:Choice>
          <mc:Fallback>
            <w:pict>
              <v:shape id="文本框 2" o:spid="_x0000_s1026" o:spt="202" type="#_x0000_t202" style="position:absolute;left:0pt;margin-left:127.25pt;margin-top:7.15pt;height:25.5pt;width:246.75pt;mso-position-horizontal-relative:margin;z-index:251659264;mso-width-relative:page;mso-height-relative:page;" fillcolor="#FFFFFF" filled="t" stroked="f" coordsize="21600,21600" o:gfxdata="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O83j1QAAAAkBAAAPAAAAAAAAAAEAIAAAACIAAABkcnMvZG93&#10;bnJldi54bWxQSwECFAAUAAAACACHTuJAM5p4tsoBAACBAwAADgAAAAAAAAABACAAAAAkAQAAZHJz&#10;L2Uyb0RvYy54bWxQSwUGAAAAAAYABgBZAQAAYAUAAAAA&#10;">
                <v:fill on="t" focussize="0,0"/>
                <v:stroke on="f" weight="0.5pt"/>
                <v:imagedata o:title=""/>
                <o:lock v:ext="edit" aspectratio="f"/>
                <v:textbox>
                  <w:txbxContent>
                    <w:p w14:paraId="55F5B7E2">
                      <w:pPr>
                        <w:pStyle w:val="3"/>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v:textbox>
              </v:shape>
            </w:pict>
          </mc:Fallback>
        </mc:AlternateContent>
      </w:r>
    </w:p>
    <w:p w14:paraId="139B8B1A">
      <w:pPr>
        <w:bidi w:val="0"/>
        <w:rPr>
          <w:rFonts w:hint="eastAsia" w:asciiTheme="minorHAnsi" w:hAnsiTheme="minorHAnsi" w:eastAsiaTheme="minorEastAsia" w:cstheme="minorBidi"/>
          <w:kern w:val="2"/>
          <w:sz w:val="21"/>
          <w:szCs w:val="22"/>
          <w:lang w:val="en-US" w:eastAsia="zh-CN" w:bidi="ar-SA"/>
        </w:rPr>
      </w:pPr>
    </w:p>
    <w:p w14:paraId="0E4EED60">
      <w:pPr>
        <w:pStyle w:val="50"/>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4.1.3噪声</w:t>
      </w:r>
    </w:p>
    <w:p w14:paraId="02714409">
      <w:pPr>
        <w:pStyle w:val="50"/>
        <w:spacing w:line="360" w:lineRule="auto"/>
        <w:ind w:firstLine="480" w:firstLineChars="200"/>
        <w:jc w:val="left"/>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该项目主要噪声为生产使用设备运转产生的噪声，设备噪声源强为</w:t>
      </w:r>
      <w:r>
        <w:rPr>
          <w:rFonts w:hint="default" w:ascii="Times New Roman" w:hAnsi="Times New Roman" w:eastAsia="宋体" w:cs="Times New Roman"/>
          <w:color w:val="000000"/>
          <w:sz w:val="24"/>
          <w:szCs w:val="28"/>
          <w:lang w:val="en-US" w:eastAsia="zh-CN"/>
        </w:rPr>
        <w:t>85</w:t>
      </w:r>
      <w:r>
        <w:rPr>
          <w:rFonts w:hint="default" w:ascii="Times New Roman" w:hAnsi="Times New Roman" w:eastAsia="宋体" w:cs="Times New Roman"/>
          <w:color w:val="000000"/>
          <w:sz w:val="24"/>
          <w:szCs w:val="28"/>
        </w:rPr>
        <w:t>dB（A）</w:t>
      </w:r>
      <w:r>
        <w:rPr>
          <w:rFonts w:hint="default" w:ascii="Times New Roman" w:hAnsi="Times New Roman" w:eastAsia="宋体" w:cs="Times New Roman"/>
          <w:color w:val="000000"/>
          <w:sz w:val="24"/>
          <w:szCs w:val="28"/>
          <w:lang w:val="en-US" w:eastAsia="zh-CN"/>
        </w:rPr>
        <w:t>~86</w:t>
      </w:r>
      <w:r>
        <w:rPr>
          <w:rFonts w:hint="default" w:ascii="Times New Roman" w:hAnsi="Times New Roman" w:eastAsia="宋体" w:cs="Times New Roman"/>
          <w:color w:val="000000"/>
          <w:sz w:val="24"/>
          <w:szCs w:val="28"/>
        </w:rPr>
        <w:t>dB（A）以下。针对该项目产噪设备的特点采取选用低噪声设备，在合理布局的基础上，对车间生产设备噪声源采取选用</w:t>
      </w:r>
      <w:r>
        <w:rPr>
          <w:rFonts w:hint="default" w:ascii="Times New Roman" w:hAnsi="Times New Roman" w:eastAsia="宋体" w:cs="Times New Roman"/>
          <w:color w:val="000000"/>
          <w:sz w:val="24"/>
          <w:szCs w:val="28"/>
          <w:lang w:val="en-US" w:eastAsia="zh-CN"/>
        </w:rPr>
        <w:t>低噪声设备、减振安装、墙体采取隔声材料、合理布局、绿化降噪、控制场内运输车辆</w:t>
      </w:r>
      <w:r>
        <w:rPr>
          <w:rFonts w:hint="default" w:ascii="Times New Roman" w:hAnsi="Times New Roman" w:eastAsia="宋体" w:cs="Times New Roman"/>
          <w:color w:val="000000"/>
          <w:sz w:val="24"/>
          <w:szCs w:val="28"/>
        </w:rPr>
        <w:t>等措施。</w:t>
      </w:r>
    </w:p>
    <w:p w14:paraId="439688DD">
      <w:pPr>
        <w:pStyle w:val="50"/>
        <w:spacing w:line="360" w:lineRule="auto"/>
        <w:ind w:firstLine="482" w:firstLineChars="20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4.1.4固（液）体废物</w:t>
      </w:r>
    </w:p>
    <w:p w14:paraId="0561F20A">
      <w:pPr>
        <w:pStyle w:val="50"/>
        <w:spacing w:line="360" w:lineRule="auto"/>
        <w:ind w:firstLine="480" w:firstLineChars="200"/>
        <w:jc w:val="left"/>
        <w:rPr>
          <w:rFonts w:hint="default" w:ascii="Times New Roman" w:hAnsi="Times New Roman" w:eastAsia="宋体" w:cs="Times New Roman"/>
          <w:color w:val="000000"/>
          <w:sz w:val="24"/>
          <w:szCs w:val="28"/>
          <w:lang w:val="en-US" w:eastAsia="zh-CN"/>
        </w:rPr>
      </w:pPr>
      <w:bookmarkStart w:id="31" w:name="_Toc28341"/>
      <w:r>
        <w:rPr>
          <w:rFonts w:hint="eastAsia" w:ascii="Times New Roman" w:hAnsi="Times New Roman" w:eastAsia="宋体" w:cs="Times New Roman"/>
          <w:color w:val="000000"/>
          <w:sz w:val="24"/>
          <w:szCs w:val="28"/>
          <w:lang w:val="en-US" w:eastAsia="zh-CN"/>
        </w:rPr>
        <w:t>本项目产生的生活垃圾由环卫部门定期清运；废活性炭、精馏残液、废过滤膜，过滤残渣委托有资质单位处置；废弃包装材料回用回用于生产。</w:t>
      </w:r>
    </w:p>
    <w:p w14:paraId="77D3DF7E">
      <w:pPr>
        <w:pStyle w:val="50"/>
        <w:spacing w:line="360" w:lineRule="auto"/>
        <w:ind w:left="0" w:leftChars="0" w:firstLine="0" w:firstLineChars="0"/>
        <w:jc w:val="left"/>
        <w:outlineLvl w:val="1"/>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4.2其他环保设施</w:t>
      </w:r>
      <w:bookmarkEnd w:id="31"/>
    </w:p>
    <w:p w14:paraId="62051BDB">
      <w:pPr>
        <w:pStyle w:val="50"/>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4.2.1风险因素分析</w:t>
      </w:r>
    </w:p>
    <w:p w14:paraId="6F1AAB2C">
      <w:pPr>
        <w:pStyle w:val="50"/>
        <w:spacing w:line="360" w:lineRule="auto"/>
        <w:ind w:firstLine="480" w:firstLineChars="200"/>
        <w:jc w:val="left"/>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拟建项目主要环境风险影响是</w:t>
      </w:r>
      <w:r>
        <w:rPr>
          <w:rFonts w:hint="eastAsia" w:ascii="Times New Roman" w:hAnsi="Times New Roman" w:eastAsia="宋体" w:cs="Times New Roman"/>
          <w:color w:val="000000"/>
          <w:sz w:val="24"/>
          <w:lang w:val="en-US" w:eastAsia="zh-CN"/>
        </w:rPr>
        <w:t>醋酸泄漏</w:t>
      </w:r>
      <w:r>
        <w:rPr>
          <w:rFonts w:hint="default" w:ascii="Times New Roman" w:hAnsi="Times New Roman" w:eastAsia="宋体" w:cs="Times New Roman"/>
          <w:color w:val="000000"/>
          <w:sz w:val="24"/>
        </w:rPr>
        <w:t>引发火灾的环境影响，如发生火灾在高温条件，会污染周围环境空气质量，尤其是对生产车间周围的环境空气质量影响较大</w:t>
      </w:r>
      <w:r>
        <w:rPr>
          <w:rFonts w:hint="default" w:ascii="Times New Roman" w:hAnsi="Times New Roman" w:eastAsia="宋体" w:cs="Times New Roman"/>
          <w:color w:val="000000"/>
          <w:sz w:val="24"/>
          <w:lang w:eastAsia="zh-CN"/>
        </w:rPr>
        <w:t>。</w:t>
      </w:r>
    </w:p>
    <w:p w14:paraId="7C05613E">
      <w:pPr>
        <w:pStyle w:val="50"/>
        <w:spacing w:line="360" w:lineRule="auto"/>
        <w:ind w:left="0" w:leftChars="0"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4.2.2风险防范措施</w:t>
      </w:r>
    </w:p>
    <w:p w14:paraId="6A1DEBB6">
      <w:pPr>
        <w:pStyle w:val="3"/>
        <w:spacing w:after="0" w:line="360" w:lineRule="auto"/>
        <w:ind w:left="0" w:firstLine="480" w:firstLineChars="200"/>
        <w:rPr>
          <w:rFonts w:hint="eastAsia" w:cs="Times New Roman"/>
          <w:sz w:val="24"/>
          <w:szCs w:val="28"/>
          <w:lang w:val="en-US" w:eastAsia="zh-CN"/>
        </w:rPr>
      </w:pPr>
      <w:r>
        <w:rPr>
          <w:rFonts w:hint="eastAsia" w:cs="Times New Roman"/>
          <w:sz w:val="24"/>
          <w:szCs w:val="28"/>
          <w:lang w:val="en-US" w:eastAsia="zh-CN"/>
        </w:rPr>
        <w:t>大气环境风险防范措施</w:t>
      </w:r>
    </w:p>
    <w:p w14:paraId="286B35FA">
      <w:pPr>
        <w:pStyle w:val="4"/>
        <w:rPr>
          <w:rFonts w:hint="eastAsia" w:cs="Times New Roman"/>
          <w:sz w:val="24"/>
          <w:szCs w:val="28"/>
          <w:lang w:val="en-US" w:eastAsia="zh-CN"/>
        </w:rPr>
      </w:pPr>
      <w:r>
        <w:rPr>
          <w:rFonts w:hint="eastAsia" w:cs="Times New Roman"/>
          <w:sz w:val="24"/>
          <w:szCs w:val="28"/>
          <w:lang w:val="en-US" w:eastAsia="zh-CN"/>
        </w:rPr>
        <w:t>大气环境风险防范措施见表4-1</w:t>
      </w:r>
    </w:p>
    <w:p w14:paraId="0C593B91">
      <w:pPr>
        <w:jc w:val="center"/>
        <w:rPr>
          <w:rFonts w:hint="default" w:ascii="Times New Roman" w:hAnsi="Times New Roman" w:cs="Times New Roman"/>
          <w:b/>
          <w:bCs/>
          <w:lang w:val="en-US" w:eastAsia="zh-CN"/>
        </w:rPr>
      </w:pPr>
      <w:r>
        <w:rPr>
          <w:rFonts w:hint="default" w:ascii="Times New Roman" w:hAnsi="Times New Roman" w:cs="Times New Roman"/>
          <w:b/>
          <w:bCs/>
          <w:sz w:val="24"/>
          <w:szCs w:val="28"/>
          <w:lang w:val="en-US" w:eastAsia="zh-CN"/>
        </w:rPr>
        <w:t>表4-1本项目大气环境风险防范措施</w:t>
      </w:r>
    </w:p>
    <w:p w14:paraId="2A285ED4">
      <w:pPr>
        <w:pStyle w:val="4"/>
        <w:rPr>
          <w:rFonts w:hint="default"/>
          <w:lang w:val="en-US" w:eastAsia="zh-CN"/>
        </w:rPr>
      </w:pPr>
      <w:r>
        <w:drawing>
          <wp:inline distT="0" distB="0" distL="114300" distR="114300">
            <wp:extent cx="5383530" cy="5086350"/>
            <wp:effectExtent l="0" t="0" r="7620" b="0"/>
            <wp:docPr id="1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pic:cNvPicPr>
                      <a:picLocks noChangeAspect="1"/>
                    </pic:cNvPicPr>
                  </pic:nvPicPr>
                  <pic:blipFill>
                    <a:blip r:embed="rId32"/>
                    <a:stretch>
                      <a:fillRect/>
                    </a:stretch>
                  </pic:blipFill>
                  <pic:spPr>
                    <a:xfrm>
                      <a:off x="0" y="0"/>
                      <a:ext cx="5383530" cy="5086350"/>
                    </a:xfrm>
                    <a:prstGeom prst="rect">
                      <a:avLst/>
                    </a:prstGeom>
                    <a:noFill/>
                    <a:ln>
                      <a:noFill/>
                    </a:ln>
                  </pic:spPr>
                </pic:pic>
              </a:graphicData>
            </a:graphic>
          </wp:inline>
        </w:drawing>
      </w:r>
    </w:p>
    <w:p w14:paraId="3C1A1AF1">
      <w:pPr>
        <w:pStyle w:val="3"/>
        <w:spacing w:after="0" w:line="360" w:lineRule="auto"/>
        <w:ind w:left="0" w:firstLine="480" w:firstLineChars="200"/>
        <w:rPr>
          <w:rFonts w:hint="default" w:ascii="Times New Roman" w:hAnsi="Times New Roman" w:eastAsia="宋体" w:cs="Times New Roman"/>
          <w:sz w:val="24"/>
          <w:szCs w:val="28"/>
        </w:rPr>
      </w:pPr>
    </w:p>
    <w:p w14:paraId="3E5D1C38">
      <w:pPr>
        <w:pStyle w:val="3"/>
        <w:spacing w:after="0" w:line="360" w:lineRule="auto"/>
        <w:ind w:left="0" w:firstLine="480" w:firstLineChars="200"/>
        <w:rPr>
          <w:rFonts w:hint="default" w:cs="Times New Roman"/>
          <w:sz w:val="24"/>
          <w:szCs w:val="28"/>
          <w:lang w:val="en-US" w:eastAsia="zh-CN"/>
        </w:rPr>
      </w:pPr>
      <w:r>
        <w:rPr>
          <w:rFonts w:hint="eastAsia" w:cs="Times New Roman"/>
          <w:sz w:val="24"/>
          <w:szCs w:val="28"/>
          <w:lang w:val="en-US" w:eastAsia="zh-CN"/>
        </w:rPr>
        <w:t>水环境风险防范措施：</w:t>
      </w:r>
    </w:p>
    <w:p w14:paraId="06CFE01A">
      <w:pPr>
        <w:pStyle w:val="3"/>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罐区发生泄漏后，喷淋废水经事故废水导排管沟自流至事故应水池，收集后根据废水水质情况决定由直接排放或委托处理。</w:t>
      </w:r>
    </w:p>
    <w:p w14:paraId="4EDB83F8">
      <w:pPr>
        <w:pStyle w:val="3"/>
        <w:spacing w:after="0" w:line="360" w:lineRule="auto"/>
        <w:ind w:left="0" w:firstLine="480" w:firstLineChars="200"/>
        <w:rPr>
          <w:rFonts w:hint="eastAsia" w:ascii="Times New Roman" w:hAnsi="Times New Roman" w:eastAsia="宋体" w:cs="Times New Roman"/>
          <w:sz w:val="24"/>
          <w:szCs w:val="28"/>
          <w:lang w:eastAsia="zh-CN"/>
        </w:rPr>
      </w:pPr>
      <w:r>
        <w:rPr>
          <w:rFonts w:hint="default" w:ascii="Times New Roman" w:hAnsi="Times New Roman" w:eastAsia="宋体" w:cs="Times New Roman"/>
          <w:sz w:val="24"/>
          <w:szCs w:val="28"/>
        </w:rPr>
        <w:t>当罐区发生泄漏事故时，首先切断厂区污水及雨水总排口，喷淋废水、事故状况下的生产废水经过事故水导排系统进入厂区事故水池</w:t>
      </w:r>
      <w:r>
        <w:rPr>
          <w:rFonts w:hint="eastAsia" w:cs="Times New Roman"/>
          <w:sz w:val="24"/>
          <w:szCs w:val="28"/>
          <w:lang w:eastAsia="zh-CN"/>
        </w:rPr>
        <w:t>。</w:t>
      </w:r>
    </w:p>
    <w:p w14:paraId="784D5703">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4.2.3事故应急措施</w:t>
      </w:r>
    </w:p>
    <w:p w14:paraId="3FB36278">
      <w:pPr>
        <w:pStyle w:val="3"/>
        <w:spacing w:after="0" w:line="360" w:lineRule="auto"/>
        <w:ind w:left="0" w:firstLine="480" w:firstLineChars="200"/>
        <w:rPr>
          <w:sz w:val="24"/>
          <w:szCs w:val="28"/>
        </w:rPr>
      </w:pPr>
      <w:r>
        <w:rPr>
          <w:sz w:val="24"/>
          <w:szCs w:val="28"/>
        </w:rPr>
        <w:t>1、最早发现者，立即向生产科、办公室报警，并采取一切有效措施，切断事故源。</w:t>
      </w:r>
    </w:p>
    <w:p w14:paraId="17CB40A2">
      <w:pPr>
        <w:pStyle w:val="3"/>
        <w:spacing w:after="0" w:line="360" w:lineRule="auto"/>
        <w:ind w:left="0" w:firstLine="480" w:firstLineChars="200"/>
        <w:rPr>
          <w:sz w:val="24"/>
          <w:szCs w:val="28"/>
        </w:rPr>
      </w:pPr>
      <w:r>
        <w:rPr>
          <w:sz w:val="24"/>
          <w:szCs w:val="28"/>
        </w:rPr>
        <w:t>2、办公室接到报警后，应迅速通知生产车间，要求查明火灾发生的部位(装置)和原因，同时发出报警电话，通知指挥部成员及消防队和各专业救援队伍，迅速赶往事故现场。</w:t>
      </w:r>
    </w:p>
    <w:p w14:paraId="4AE6D887">
      <w:pPr>
        <w:pStyle w:val="3"/>
        <w:spacing w:after="0" w:line="360" w:lineRule="auto"/>
        <w:ind w:left="0" w:firstLine="480" w:firstLineChars="200"/>
        <w:rPr>
          <w:sz w:val="24"/>
          <w:szCs w:val="28"/>
        </w:rPr>
      </w:pPr>
      <w:r>
        <w:rPr>
          <w:sz w:val="24"/>
          <w:szCs w:val="28"/>
        </w:rPr>
        <w:t>3、指挥部成员，迅速向上级主管部门、</w:t>
      </w:r>
      <w:r>
        <w:rPr>
          <w:rFonts w:hint="eastAsia"/>
          <w:sz w:val="24"/>
          <w:szCs w:val="28"/>
          <w:lang w:val="en-US" w:eastAsia="zh-CN"/>
        </w:rPr>
        <w:t>政府部门</w:t>
      </w:r>
      <w:r>
        <w:rPr>
          <w:sz w:val="24"/>
          <w:szCs w:val="28"/>
        </w:rPr>
        <w:t>、</w:t>
      </w:r>
      <w:r>
        <w:rPr>
          <w:rFonts w:hint="eastAsia"/>
          <w:sz w:val="24"/>
          <w:szCs w:val="28"/>
          <w:lang w:val="en-US" w:eastAsia="zh-CN"/>
        </w:rPr>
        <w:t>应急管理部门</w:t>
      </w:r>
      <w:r>
        <w:rPr>
          <w:sz w:val="24"/>
          <w:szCs w:val="28"/>
        </w:rPr>
        <w:t>、劳动环保等机关报告事故情况。</w:t>
      </w:r>
    </w:p>
    <w:p w14:paraId="6608056A">
      <w:pPr>
        <w:pStyle w:val="3"/>
        <w:spacing w:after="0" w:line="360" w:lineRule="auto"/>
        <w:ind w:left="0" w:firstLine="480" w:firstLineChars="200"/>
        <w:rPr>
          <w:sz w:val="24"/>
          <w:szCs w:val="28"/>
        </w:rPr>
      </w:pPr>
      <w:r>
        <w:rPr>
          <w:sz w:val="24"/>
          <w:szCs w:val="28"/>
        </w:rPr>
        <w:t>4、生产车间主任迅速查明事故发生位置和原因，凡能通过灭火器等处理的，应向指挥部报告，并提出灭火的具体措施，同时，生产现场应切断电源，消除一切火源。</w:t>
      </w:r>
    </w:p>
    <w:p w14:paraId="5EC9EDCD">
      <w:pPr>
        <w:pStyle w:val="3"/>
        <w:spacing w:after="0" w:line="360" w:lineRule="auto"/>
        <w:ind w:left="0" w:firstLine="480" w:firstLineChars="200"/>
        <w:rPr>
          <w:sz w:val="24"/>
          <w:szCs w:val="28"/>
        </w:rPr>
      </w:pPr>
      <w:r>
        <w:rPr>
          <w:sz w:val="24"/>
          <w:szCs w:val="28"/>
        </w:rPr>
        <w:t>5、消防队到达事故现场后，首先查明现场有无受伤人员，以最快速度将受伤者脱离现场，严重者尽快送到医院抢救。</w:t>
      </w:r>
    </w:p>
    <w:p w14:paraId="2CFD7645">
      <w:pPr>
        <w:pStyle w:val="3"/>
        <w:spacing w:after="0" w:line="360" w:lineRule="auto"/>
        <w:ind w:left="0" w:firstLine="480" w:firstLineChars="200"/>
        <w:rPr>
          <w:sz w:val="24"/>
          <w:szCs w:val="28"/>
        </w:rPr>
      </w:pPr>
      <w:r>
        <w:rPr>
          <w:sz w:val="24"/>
          <w:szCs w:val="28"/>
        </w:rPr>
        <w:t>6、指挥部成员到达事故现场后，根据事故状态及危害程度，做出相应的应急决定，并命令各应急救援队，立即开展救援工作，如事故扩大时，应请求外界支援。</w:t>
      </w:r>
    </w:p>
    <w:p w14:paraId="5B5DC4BD">
      <w:pPr>
        <w:pStyle w:val="3"/>
        <w:spacing w:after="0" w:line="360" w:lineRule="auto"/>
        <w:ind w:left="0" w:firstLine="480" w:firstLineChars="200"/>
        <w:rPr>
          <w:sz w:val="24"/>
          <w:szCs w:val="28"/>
        </w:rPr>
      </w:pPr>
      <w:r>
        <w:rPr>
          <w:sz w:val="24"/>
          <w:szCs w:val="28"/>
        </w:rPr>
        <w:t>7、办公室到达事故现场后，会同发生事故的车间主任、班长，在查明火灾部位和范围后，分析能否控制，必要时对现场人员进行撤离。</w:t>
      </w:r>
    </w:p>
    <w:p w14:paraId="7CC04F08">
      <w:pPr>
        <w:pStyle w:val="3"/>
        <w:spacing w:after="0" w:line="360" w:lineRule="auto"/>
        <w:ind w:left="0" w:firstLine="480" w:firstLineChars="200"/>
        <w:rPr>
          <w:sz w:val="24"/>
          <w:szCs w:val="28"/>
        </w:rPr>
      </w:pPr>
      <w:r>
        <w:rPr>
          <w:sz w:val="24"/>
          <w:szCs w:val="28"/>
        </w:rPr>
        <w:t>8、保卫人员达到现场后，担负治安和交通指挥，在事故现场周围设岗，划分禁区，并巡逻检查，如有火种扩散危及公司内、外人员安全时，应迅速组织有关人员协助友邻单位、厂外过往行人，在办事处、市指挥部指挥协调下向安全地带疏散。</w:t>
      </w:r>
    </w:p>
    <w:p w14:paraId="409DF341">
      <w:pPr>
        <w:pStyle w:val="3"/>
        <w:spacing w:after="0" w:line="360" w:lineRule="auto"/>
        <w:ind w:left="0" w:firstLine="480" w:firstLineChars="200"/>
        <w:rPr>
          <w:sz w:val="24"/>
          <w:szCs w:val="28"/>
        </w:rPr>
      </w:pPr>
      <w:r>
        <w:rPr>
          <w:sz w:val="24"/>
          <w:szCs w:val="28"/>
        </w:rPr>
        <w:t>9、医疗救护到达现场后与消防人员配合，应立即抢救伤员和中毒人员，并采取相应的急救措施，对伤员进行清洗、包扎，并把伤员送往医院抢救。</w:t>
      </w:r>
    </w:p>
    <w:p w14:paraId="186BD06D">
      <w:pPr>
        <w:pStyle w:val="3"/>
        <w:spacing w:after="0" w:line="360" w:lineRule="auto"/>
        <w:ind w:left="0" w:firstLine="480" w:firstLineChars="200"/>
        <w:rPr>
          <w:sz w:val="24"/>
          <w:szCs w:val="28"/>
        </w:rPr>
      </w:pPr>
      <w:r>
        <w:rPr>
          <w:sz w:val="24"/>
          <w:szCs w:val="28"/>
        </w:rPr>
        <w:t>10、抢险到达事故现场后，根据指挥部下达的抢修指令迅速进行设备抢修，控制事故扩大。</w:t>
      </w:r>
    </w:p>
    <w:p w14:paraId="091C2EFE">
      <w:pPr>
        <w:pStyle w:val="3"/>
        <w:spacing w:after="0" w:line="360" w:lineRule="auto"/>
        <w:ind w:left="0" w:firstLine="480" w:firstLineChars="200"/>
        <w:rPr>
          <w:sz w:val="24"/>
          <w:szCs w:val="28"/>
        </w:rPr>
      </w:pPr>
      <w:r>
        <w:rPr>
          <w:sz w:val="24"/>
          <w:szCs w:val="28"/>
        </w:rPr>
        <w:t>通过采取上述措施，该项目能尽量避免油类燃烧对空气造成的环境影响，并能有效地降低环境风险发生的概率。</w:t>
      </w:r>
    </w:p>
    <w:p w14:paraId="3EE00929">
      <w:pPr>
        <w:pStyle w:val="50"/>
        <w:spacing w:line="360" w:lineRule="auto"/>
        <w:ind w:firstLine="0" w:firstLineChars="0"/>
        <w:jc w:val="left"/>
        <w:rPr>
          <w:rFonts w:ascii="Times New Roman" w:hAnsi="Times New Roman" w:eastAsia="宋体" w:cs="Times New Roman"/>
          <w:b/>
          <w:sz w:val="24"/>
          <w:szCs w:val="32"/>
        </w:rPr>
      </w:pPr>
    </w:p>
    <w:p w14:paraId="2B1298C5">
      <w:pPr>
        <w:pStyle w:val="50"/>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4.2.4环境风险应急预案</w:t>
      </w:r>
    </w:p>
    <w:p w14:paraId="29ADDBE3">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对于重大的风险(主要是火灾爆炸造成人员伤亡等)，制定应急响应方案，建立应急反应体系，当事件一旦发生时可迅速加以控制，使危害和损失降低到尽可能低的程度。</w:t>
      </w:r>
    </w:p>
    <w:p w14:paraId="37BA38FE">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作为事故风险防范和应急对策的重要组成部分，应急组织机构应制定应急计划，其基本内容包括应急组织、应急设施、应急通讯、应急监测、应急安全保卫、应急撤离措施、应急救援、应激状态终止、事故后果评价、应急报告等。根据导则的要求，该项目制定的相关环境保护应急预案内容摘要见下表4-</w:t>
      </w:r>
      <w:r>
        <w:rPr>
          <w:rFonts w:hint="eastAsia" w:cs="Times New Roman"/>
          <w:sz w:val="24"/>
          <w:szCs w:val="28"/>
          <w:lang w:val="en-US" w:eastAsia="zh-CN"/>
        </w:rPr>
        <w:t>2</w:t>
      </w:r>
      <w:r>
        <w:rPr>
          <w:rFonts w:hint="default" w:ascii="Times New Roman" w:hAnsi="Times New Roman" w:cs="Times New Roman"/>
          <w:sz w:val="24"/>
          <w:szCs w:val="28"/>
        </w:rPr>
        <w:t>。</w:t>
      </w:r>
    </w:p>
    <w:p w14:paraId="5429AFA9">
      <w:pPr>
        <w:pStyle w:val="3"/>
        <w:spacing w:after="0" w:line="240" w:lineRule="auto"/>
        <w:ind w:left="0"/>
        <w:jc w:val="center"/>
        <w:rPr>
          <w:rFonts w:hint="default" w:ascii="Times New Roman" w:hAnsi="Times New Roman" w:cs="Times New Roman"/>
          <w:b/>
          <w:sz w:val="22"/>
          <w:szCs w:val="24"/>
        </w:rPr>
      </w:pPr>
      <w:r>
        <w:rPr>
          <w:rFonts w:hint="default" w:ascii="Times New Roman" w:hAnsi="Times New Roman" w:cs="Times New Roman"/>
          <w:b/>
          <w:sz w:val="22"/>
          <w:szCs w:val="24"/>
        </w:rPr>
        <w:t>表4-</w:t>
      </w:r>
      <w:r>
        <w:rPr>
          <w:rFonts w:hint="eastAsia" w:cs="Times New Roman"/>
          <w:b/>
          <w:sz w:val="22"/>
          <w:szCs w:val="24"/>
          <w:lang w:val="en-US" w:eastAsia="zh-CN"/>
        </w:rPr>
        <w:t>2</w:t>
      </w:r>
      <w:r>
        <w:rPr>
          <w:rFonts w:hint="default" w:ascii="Times New Roman" w:hAnsi="Times New Roman" w:cs="Times New Roman"/>
          <w:b/>
          <w:sz w:val="22"/>
          <w:szCs w:val="24"/>
        </w:rPr>
        <w:t xml:space="preserve">  环境风险的突发性事故应急预案</w:t>
      </w:r>
    </w:p>
    <w:tbl>
      <w:tblPr>
        <w:tblStyle w:val="33"/>
        <w:tblW w:w="88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7"/>
        <w:gridCol w:w="1669"/>
        <w:gridCol w:w="6480"/>
      </w:tblGrid>
      <w:tr w14:paraId="773EC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7" w:type="dxa"/>
            <w:vAlign w:val="center"/>
          </w:tcPr>
          <w:p w14:paraId="2B9F7B7F">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669" w:type="dxa"/>
            <w:vAlign w:val="center"/>
          </w:tcPr>
          <w:p w14:paraId="1D32CF3B">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6480" w:type="dxa"/>
            <w:vAlign w:val="center"/>
          </w:tcPr>
          <w:p w14:paraId="5D9BC84A">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内容及要求</w:t>
            </w:r>
          </w:p>
        </w:tc>
      </w:tr>
      <w:tr w14:paraId="751B4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7" w:type="dxa"/>
            <w:vAlign w:val="center"/>
          </w:tcPr>
          <w:p w14:paraId="1DFAB239">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669" w:type="dxa"/>
            <w:vAlign w:val="center"/>
          </w:tcPr>
          <w:p w14:paraId="125A167B">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应急计划区</w:t>
            </w:r>
          </w:p>
        </w:tc>
        <w:tc>
          <w:tcPr>
            <w:tcW w:w="6480" w:type="dxa"/>
            <w:vAlign w:val="center"/>
          </w:tcPr>
          <w:p w14:paraId="0D7E019F">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主要危险源为各生产工序。</w:t>
            </w:r>
          </w:p>
        </w:tc>
      </w:tr>
      <w:tr w14:paraId="2C752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07CCDEA0">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669" w:type="dxa"/>
            <w:vAlign w:val="center"/>
          </w:tcPr>
          <w:p w14:paraId="1E51F96B">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应急组织结构</w:t>
            </w:r>
          </w:p>
        </w:tc>
        <w:tc>
          <w:tcPr>
            <w:tcW w:w="6480" w:type="dxa"/>
            <w:vAlign w:val="center"/>
          </w:tcPr>
          <w:p w14:paraId="2C5A4E2E">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厂区实施应急组织机构，主要负责人为应急计划、协调第一人，应急人员必须培训上岗熟练工。</w:t>
            </w:r>
          </w:p>
        </w:tc>
      </w:tr>
      <w:tr w14:paraId="3E28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5950090C">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669" w:type="dxa"/>
            <w:vAlign w:val="center"/>
          </w:tcPr>
          <w:p w14:paraId="46E6A48D">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预案分级响应条件</w:t>
            </w:r>
          </w:p>
        </w:tc>
        <w:tc>
          <w:tcPr>
            <w:tcW w:w="6480" w:type="dxa"/>
            <w:vAlign w:val="center"/>
          </w:tcPr>
          <w:p w14:paraId="7000E97B">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根据事故的严重程度制定相应级别的应急预案，以及合适的处理措施。</w:t>
            </w:r>
          </w:p>
        </w:tc>
      </w:tr>
      <w:tr w14:paraId="009EC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5B27ECAE">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669" w:type="dxa"/>
            <w:vAlign w:val="center"/>
          </w:tcPr>
          <w:p w14:paraId="2CA061C3">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报警、联络方式</w:t>
            </w:r>
          </w:p>
        </w:tc>
        <w:tc>
          <w:tcPr>
            <w:tcW w:w="6480" w:type="dxa"/>
            <w:vAlign w:val="center"/>
          </w:tcPr>
          <w:p w14:paraId="6BDBBD2C">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逐一细化应急状态下各主要负责单位的报警通讯方式、地点、电话号码以及相关配套的交通保障、管制、消防联络方法，涉及相关区域环境保护部门和上级环保部门保持联系，及时通报事故处理情况，以获得区域性支援。</w:t>
            </w:r>
          </w:p>
        </w:tc>
      </w:tr>
      <w:tr w14:paraId="1F4C0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68312C9D">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669" w:type="dxa"/>
            <w:vAlign w:val="center"/>
          </w:tcPr>
          <w:p w14:paraId="708636C0">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应急环境监测</w:t>
            </w:r>
          </w:p>
        </w:tc>
        <w:tc>
          <w:tcPr>
            <w:tcW w:w="6480" w:type="dxa"/>
            <w:vAlign w:val="center"/>
          </w:tcPr>
          <w:p w14:paraId="4A149A2E">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组织专业队伍负责对事故现场进行侦察监测，对事故性质、参数与后果进行评估，专为指挥部门提供决策依据。</w:t>
            </w:r>
          </w:p>
        </w:tc>
      </w:tr>
      <w:tr w14:paraId="6638D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1848CBDA">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669" w:type="dxa"/>
            <w:vAlign w:val="center"/>
          </w:tcPr>
          <w:p w14:paraId="56D2292B">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抢险、救援控制措施</w:t>
            </w:r>
          </w:p>
        </w:tc>
        <w:tc>
          <w:tcPr>
            <w:tcW w:w="6480" w:type="dxa"/>
            <w:vAlign w:val="center"/>
          </w:tcPr>
          <w:p w14:paraId="035DA4BC">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严格规定事故多发区、事故现场、邻近区域、控制防火区域设置控制和清除污染措施及相应设备的数量、使用方法、使用人员。</w:t>
            </w:r>
          </w:p>
        </w:tc>
      </w:tr>
      <w:tr w14:paraId="59136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4493CB4A">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669" w:type="dxa"/>
            <w:vAlign w:val="center"/>
          </w:tcPr>
          <w:p w14:paraId="67521C76">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人员紧急撤离、疏散计划</w:t>
            </w:r>
          </w:p>
        </w:tc>
        <w:tc>
          <w:tcPr>
            <w:tcW w:w="6480" w:type="dxa"/>
            <w:vAlign w:val="center"/>
          </w:tcPr>
          <w:p w14:paraId="00FD603E">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事故现场、工厂邻近区、受事故影响的区域人员及公众对有毒有害物质应急剂量控制规定，制定紧急撤离组织计划和救护，医疗救护与公众健康。</w:t>
            </w:r>
          </w:p>
        </w:tc>
      </w:tr>
      <w:tr w14:paraId="720AC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0692074C">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669" w:type="dxa"/>
            <w:vAlign w:val="center"/>
          </w:tcPr>
          <w:p w14:paraId="35D34F34">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事故应急救援关闭程序</w:t>
            </w:r>
          </w:p>
        </w:tc>
        <w:tc>
          <w:tcPr>
            <w:tcW w:w="6480" w:type="dxa"/>
            <w:vAlign w:val="center"/>
          </w:tcPr>
          <w:p w14:paraId="1D9B1EF3">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制定相关应急状态终止程序，事故现场、受影响范围内的善后处理、恢复措施，邻近区域解除事故警戒及善后恢复措施。</w:t>
            </w:r>
          </w:p>
        </w:tc>
      </w:tr>
      <w:tr w14:paraId="605B0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87" w:type="dxa"/>
            <w:vAlign w:val="center"/>
          </w:tcPr>
          <w:p w14:paraId="2ECA102F">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669" w:type="dxa"/>
            <w:vAlign w:val="center"/>
          </w:tcPr>
          <w:p w14:paraId="483C004E">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事故恢复措施</w:t>
            </w:r>
          </w:p>
        </w:tc>
        <w:tc>
          <w:tcPr>
            <w:tcW w:w="6480" w:type="dxa"/>
            <w:vAlign w:val="center"/>
          </w:tcPr>
          <w:p w14:paraId="2B58F54B">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制定有关的环境恢复措施(包括地表水体)，组织专业人员对事故后的环境变化进行监测，对事故应急措施的环境可行性进行后影响评价。</w:t>
            </w:r>
          </w:p>
        </w:tc>
      </w:tr>
      <w:tr w14:paraId="2690C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7" w:type="dxa"/>
            <w:vAlign w:val="center"/>
          </w:tcPr>
          <w:p w14:paraId="5DB91DD2">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669" w:type="dxa"/>
            <w:vAlign w:val="center"/>
          </w:tcPr>
          <w:p w14:paraId="0A7F8645">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应急培训计划</w:t>
            </w:r>
          </w:p>
        </w:tc>
        <w:tc>
          <w:tcPr>
            <w:tcW w:w="6480" w:type="dxa"/>
            <w:vAlign w:val="center"/>
          </w:tcPr>
          <w:p w14:paraId="7F61A06E">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定期安排有关人员进行培训与演练。</w:t>
            </w:r>
          </w:p>
        </w:tc>
      </w:tr>
      <w:tr w14:paraId="37605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7" w:type="dxa"/>
            <w:vAlign w:val="center"/>
          </w:tcPr>
          <w:p w14:paraId="503316EF">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669" w:type="dxa"/>
            <w:vAlign w:val="center"/>
          </w:tcPr>
          <w:p w14:paraId="767F635C">
            <w:pPr>
              <w:adjustRightInd w:val="0"/>
              <w:spacing w:line="240" w:lineRule="auto"/>
              <w:jc w:val="center"/>
              <w:rPr>
                <w:rFonts w:hint="default" w:ascii="Times New Roman" w:hAnsi="Times New Roman" w:eastAsia="宋体" w:cs="Times New Roman"/>
                <w:szCs w:val="21"/>
              </w:rPr>
            </w:pPr>
            <w:r>
              <w:rPr>
                <w:rFonts w:hint="default" w:ascii="Times New Roman" w:hAnsi="Times New Roman" w:cs="Times New Roman"/>
                <w:color w:val="000000"/>
              </w:rPr>
              <w:t>公众教育和信息</w:t>
            </w:r>
          </w:p>
        </w:tc>
        <w:tc>
          <w:tcPr>
            <w:tcW w:w="6480" w:type="dxa"/>
            <w:vAlign w:val="center"/>
          </w:tcPr>
          <w:p w14:paraId="16A7E8C6">
            <w:pPr>
              <w:adjustRightInd w:val="0"/>
              <w:spacing w:line="240" w:lineRule="auto"/>
              <w:rPr>
                <w:rFonts w:hint="default" w:ascii="Times New Roman" w:hAnsi="Times New Roman" w:eastAsia="宋体" w:cs="Times New Roman"/>
                <w:szCs w:val="21"/>
              </w:rPr>
            </w:pPr>
            <w:r>
              <w:rPr>
                <w:rFonts w:hint="default" w:ascii="Times New Roman" w:hAnsi="Times New Roman" w:cs="Times New Roman"/>
                <w:color w:val="000000"/>
              </w:rPr>
              <w:t>对工厂邻近地区展开公众教育、培训和发布有关消息。</w:t>
            </w:r>
          </w:p>
        </w:tc>
      </w:tr>
    </w:tbl>
    <w:p w14:paraId="161B3560">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根据《建设项目环境风险评价技术导则》(HJ169-2018)、《关于进一步加强环境影响评价管理防范环境风险的通知》(环发[2012]77号)，采取以上事故风险防范措施和应急预案情况下，项目对周围环境的风险影响在可接受的范围之内。</w:t>
      </w:r>
    </w:p>
    <w:p w14:paraId="769B4415">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本次评价建议项目建设单位成立安全环保管理小组，做好防火、防电等工作，并切实落实消防设施的配备工作。经上述措施处理后，该项目对周边环境影响可以接受。同时因项目周围无食品、医药等敏感企业，故该项目对周围环境的环境风险影响较小，在可接受范围之内。</w:t>
      </w:r>
    </w:p>
    <w:p w14:paraId="00FE0E3C">
      <w:pPr>
        <w:pStyle w:val="50"/>
        <w:spacing w:line="360" w:lineRule="auto"/>
        <w:ind w:firstLine="0" w:firstLineChars="0"/>
        <w:jc w:val="left"/>
        <w:outlineLvl w:val="1"/>
        <w:rPr>
          <w:rFonts w:ascii="Times New Roman" w:hAnsi="Times New Roman" w:eastAsia="宋体" w:cs="Times New Roman"/>
          <w:b/>
          <w:sz w:val="28"/>
          <w:szCs w:val="32"/>
        </w:rPr>
      </w:pPr>
      <w:bookmarkStart w:id="32" w:name="_Toc31684"/>
      <w:r>
        <w:rPr>
          <w:rFonts w:ascii="Times New Roman" w:hAnsi="Times New Roman" w:eastAsia="宋体" w:cs="Times New Roman"/>
          <w:b/>
          <w:sz w:val="28"/>
          <w:szCs w:val="32"/>
        </w:rPr>
        <w:t>4.3环保设施投资及</w:t>
      </w:r>
      <w:r>
        <w:rPr>
          <w:rFonts w:hint="eastAsia" w:ascii="Times New Roman" w:hAnsi="Times New Roman" w:eastAsia="宋体" w:cs="Times New Roman"/>
          <w:b/>
          <w:sz w:val="28"/>
          <w:szCs w:val="32"/>
          <w:lang w:eastAsia="zh-CN"/>
        </w:rPr>
        <w:t>“</w:t>
      </w:r>
      <w:r>
        <w:rPr>
          <w:rFonts w:ascii="Times New Roman" w:hAnsi="Times New Roman" w:eastAsia="宋体" w:cs="Times New Roman"/>
          <w:b/>
          <w:sz w:val="28"/>
          <w:szCs w:val="32"/>
        </w:rPr>
        <w:t>三同时</w:t>
      </w:r>
      <w:r>
        <w:rPr>
          <w:rFonts w:hint="eastAsia" w:ascii="Times New Roman" w:hAnsi="Times New Roman" w:eastAsia="宋体" w:cs="Times New Roman"/>
          <w:b/>
          <w:sz w:val="28"/>
          <w:szCs w:val="32"/>
          <w:lang w:eastAsia="zh-CN"/>
        </w:rPr>
        <w:t>”</w:t>
      </w:r>
      <w:r>
        <w:rPr>
          <w:rFonts w:ascii="Times New Roman" w:hAnsi="Times New Roman" w:eastAsia="宋体" w:cs="Times New Roman"/>
          <w:b/>
          <w:sz w:val="28"/>
          <w:szCs w:val="32"/>
        </w:rPr>
        <w:t>落实情况</w:t>
      </w:r>
      <w:bookmarkEnd w:id="32"/>
    </w:p>
    <w:p w14:paraId="26039E28">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1、项目投资</w:t>
      </w:r>
    </w:p>
    <w:p w14:paraId="01182F93">
      <w:pPr>
        <w:autoSpaceDE w:val="0"/>
        <w:autoSpaceDN w:val="0"/>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该工程</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w:t>
      </w:r>
      <w:r>
        <w:rPr>
          <w:rFonts w:hint="default" w:ascii="Times New Roman" w:hAnsi="Times New Roman" w:eastAsia="宋体" w:cs="Times New Roman"/>
          <w:color w:val="000000"/>
          <w:kern w:val="0"/>
          <w:sz w:val="24"/>
          <w:szCs w:val="24"/>
        </w:rPr>
        <w:t>投资</w:t>
      </w:r>
      <w:r>
        <w:rPr>
          <w:rFonts w:hint="eastAsia" w:ascii="Times New Roman" w:hAnsi="Times New Roman" w:eastAsia="宋体" w:cs="Times New Roman"/>
          <w:color w:val="000000"/>
          <w:kern w:val="0"/>
          <w:sz w:val="24"/>
          <w:szCs w:val="24"/>
          <w:lang w:val="en-US" w:eastAsia="zh-CN"/>
        </w:rPr>
        <w:t>22000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元，其中环保投资</w:t>
      </w:r>
      <w:r>
        <w:rPr>
          <w:rFonts w:hint="eastAsia" w:ascii="Times New Roman" w:hAnsi="Times New Roman" w:eastAsia="宋体" w:cs="Times New Roman"/>
          <w:color w:val="000000"/>
          <w:kern w:val="0"/>
          <w:sz w:val="24"/>
          <w:szCs w:val="24"/>
          <w:lang w:val="en-US" w:eastAsia="zh-CN"/>
        </w:rPr>
        <w:t>1100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元，占</w:t>
      </w:r>
      <w:r>
        <w:rPr>
          <w:rFonts w:hint="default" w:ascii="Times New Roman" w:hAnsi="Times New Roman" w:eastAsia="宋体" w:cs="Times New Roman"/>
          <w:kern w:val="0"/>
          <w:sz w:val="24"/>
          <w:szCs w:val="24"/>
        </w:rPr>
        <w:t>总投资的</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rPr>
        <w:t>%。该工程环保设施(措施)及投资估算情况见表</w:t>
      </w:r>
      <w:r>
        <w:rPr>
          <w:rFonts w:hint="default" w:ascii="Times New Roman" w:hAnsi="Times New Roman" w:eastAsia="宋体" w:cs="Times New Roman"/>
          <w:kern w:val="0"/>
          <w:sz w:val="24"/>
          <w:szCs w:val="24"/>
          <w:lang w:val="en-US" w:eastAsia="zh-CN"/>
        </w:rPr>
        <w:t>4-</w:t>
      </w:r>
      <w:r>
        <w:rPr>
          <w:rFonts w:hint="eastAsia" w:ascii="Times New Roman" w:hAnsi="Times New Roman" w:eastAsia="宋体" w:cs="Times New Roman"/>
          <w:kern w:val="0"/>
          <w:sz w:val="24"/>
          <w:szCs w:val="24"/>
          <w:lang w:val="en-US" w:eastAsia="zh-CN"/>
        </w:rPr>
        <w:t>3</w:t>
      </w:r>
      <w:r>
        <w:rPr>
          <w:rFonts w:hint="default" w:ascii="Times New Roman" w:hAnsi="Times New Roman" w:eastAsia="宋体" w:cs="Times New Roman"/>
          <w:kern w:val="0"/>
          <w:sz w:val="24"/>
          <w:szCs w:val="24"/>
        </w:rPr>
        <w:t>。</w:t>
      </w:r>
    </w:p>
    <w:p w14:paraId="20028201">
      <w:pPr>
        <w:widowControl/>
        <w:adjustRightInd w:val="0"/>
        <w:snapToGrid w:val="0"/>
        <w:ind w:firstLine="442" w:firstLineChars="200"/>
        <w:jc w:val="center"/>
        <w:rPr>
          <w:rFonts w:hint="default" w:ascii="Times New Roman" w:hAnsi="Times New Roman" w:eastAsia="宋体" w:cs="Times New Roman"/>
          <w:b/>
          <w:kern w:val="0"/>
          <w:sz w:val="22"/>
          <w:szCs w:val="22"/>
        </w:rPr>
      </w:pPr>
      <w:r>
        <w:rPr>
          <w:rFonts w:hint="default" w:ascii="Times New Roman" w:hAnsi="Times New Roman" w:eastAsia="宋体" w:cs="Times New Roman"/>
          <w:b/>
          <w:kern w:val="0"/>
          <w:sz w:val="22"/>
          <w:szCs w:val="22"/>
        </w:rPr>
        <w:t>表</w:t>
      </w:r>
      <w:r>
        <w:rPr>
          <w:rFonts w:hint="default" w:ascii="Times New Roman" w:hAnsi="Times New Roman" w:eastAsia="宋体" w:cs="Times New Roman"/>
          <w:b/>
          <w:kern w:val="0"/>
          <w:sz w:val="22"/>
          <w:szCs w:val="22"/>
          <w:lang w:val="en-US" w:eastAsia="zh-CN"/>
        </w:rPr>
        <w:t>4-</w:t>
      </w:r>
      <w:r>
        <w:rPr>
          <w:rFonts w:hint="eastAsia" w:ascii="Times New Roman" w:hAnsi="Times New Roman" w:eastAsia="宋体" w:cs="Times New Roman"/>
          <w:b/>
          <w:kern w:val="0"/>
          <w:sz w:val="22"/>
          <w:szCs w:val="22"/>
          <w:lang w:val="en-US" w:eastAsia="zh-CN"/>
        </w:rPr>
        <w:t>3</w:t>
      </w:r>
      <w:r>
        <w:rPr>
          <w:rFonts w:hint="default" w:ascii="Times New Roman" w:hAnsi="Times New Roman" w:eastAsia="宋体" w:cs="Times New Roman"/>
          <w:b/>
          <w:kern w:val="0"/>
          <w:sz w:val="22"/>
          <w:szCs w:val="22"/>
        </w:rPr>
        <w:t xml:space="preserve"> 环保投资估算表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945"/>
        <w:gridCol w:w="2946"/>
      </w:tblGrid>
      <w:tr w14:paraId="023B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14:paraId="13547CB8">
            <w:pPr>
              <w:pStyle w:val="2"/>
              <w:adjustRightInd w:val="0"/>
              <w:snapToGrid w:val="0"/>
              <w:spacing w:after="0"/>
              <w:ind w:left="0" w:leftChars="0" w:firstLine="0" w:firstLineChars="0"/>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b/>
                <w:bCs/>
                <w:sz w:val="21"/>
                <w:szCs w:val="21"/>
                <w:lang w:val="en-US" w:eastAsia="zh-CN"/>
              </w:rPr>
              <w:t>类别</w:t>
            </w:r>
          </w:p>
        </w:tc>
        <w:tc>
          <w:tcPr>
            <w:tcW w:w="2945" w:type="dxa"/>
            <w:vAlign w:val="center"/>
          </w:tcPr>
          <w:p w14:paraId="58FEB16F">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bCs/>
                <w:sz w:val="21"/>
                <w:szCs w:val="21"/>
                <w:lang w:val="en-US" w:eastAsia="zh-CN"/>
              </w:rPr>
              <w:t>项目需采取的环保措施</w:t>
            </w:r>
          </w:p>
        </w:tc>
        <w:tc>
          <w:tcPr>
            <w:tcW w:w="2946" w:type="dxa"/>
            <w:vAlign w:val="center"/>
          </w:tcPr>
          <w:p w14:paraId="38557B60">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bCs/>
                <w:sz w:val="21"/>
                <w:szCs w:val="21"/>
                <w:lang w:val="en-US" w:eastAsia="zh-CN"/>
              </w:rPr>
              <w:t>投资（万元）</w:t>
            </w:r>
          </w:p>
        </w:tc>
      </w:tr>
      <w:tr w14:paraId="0A28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945" w:type="dxa"/>
            <w:vMerge w:val="restart"/>
            <w:vAlign w:val="center"/>
          </w:tcPr>
          <w:p w14:paraId="59C0C131">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废气</w:t>
            </w:r>
          </w:p>
        </w:tc>
        <w:tc>
          <w:tcPr>
            <w:tcW w:w="2945" w:type="dxa"/>
            <w:vAlign w:val="center"/>
          </w:tcPr>
          <w:p w14:paraId="248212C8">
            <w:pPr>
              <w:pStyle w:val="2"/>
              <w:adjustRightInd w:val="0"/>
              <w:snapToGrid w:val="0"/>
              <w:spacing w:after="0"/>
              <w:ind w:left="0" w:leftChars="0" w:firstLine="0" w:firstLineChars="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1"/>
                <w:szCs w:val="21"/>
                <w:lang w:val="en-US" w:eastAsia="zh-CN"/>
              </w:rPr>
              <w:t>二级活性炭</w:t>
            </w:r>
          </w:p>
        </w:tc>
        <w:tc>
          <w:tcPr>
            <w:tcW w:w="2946" w:type="dxa"/>
            <w:vMerge w:val="restart"/>
            <w:vAlign w:val="center"/>
          </w:tcPr>
          <w:p w14:paraId="0DBBC980">
            <w:pPr>
              <w:pStyle w:val="2"/>
              <w:adjustRightInd w:val="0"/>
              <w:snapToGrid w:val="0"/>
              <w:spacing w:after="0"/>
              <w:ind w:left="0" w:leftChars="0" w:firstLine="0" w:firstLineChars="0"/>
              <w:jc w:val="center"/>
              <w:rPr>
                <w:rFonts w:hint="default" w:ascii="Times New Roman" w:hAnsi="Times New Roman" w:cs="Times New Roman" w:eastAsiaTheme="minorEastAsia"/>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900</w:t>
            </w:r>
          </w:p>
        </w:tc>
      </w:tr>
      <w:tr w14:paraId="27AA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945" w:type="dxa"/>
            <w:vMerge w:val="continue"/>
            <w:vAlign w:val="center"/>
          </w:tcPr>
          <w:p w14:paraId="060305CA">
            <w:pPr>
              <w:pStyle w:val="2"/>
              <w:adjustRightInd w:val="0"/>
              <w:snapToGrid w:val="0"/>
              <w:spacing w:after="0"/>
              <w:ind w:left="0" w:leftChars="0" w:firstLine="0" w:firstLineChars="0"/>
              <w:jc w:val="center"/>
              <w:rPr>
                <w:rFonts w:hint="default" w:ascii="Times New Roman" w:hAnsi="Times New Roman" w:cs="Times New Roman"/>
              </w:rPr>
            </w:pPr>
          </w:p>
        </w:tc>
        <w:tc>
          <w:tcPr>
            <w:tcW w:w="2945" w:type="dxa"/>
            <w:vAlign w:val="center"/>
          </w:tcPr>
          <w:p w14:paraId="6316FE1F">
            <w:pPr>
              <w:pStyle w:val="2"/>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碱喷淋塔</w:t>
            </w:r>
            <w:r>
              <w:rPr>
                <w:rFonts w:hint="eastAsia" w:ascii="Times New Roman" w:hAnsi="Times New Roman" w:eastAsia="宋体" w:cs="Times New Roman"/>
                <w:sz w:val="21"/>
                <w:szCs w:val="21"/>
                <w:lang w:val="en-US" w:eastAsia="zh-CN"/>
              </w:rPr>
              <w:t>+活性炭吸附</w:t>
            </w:r>
          </w:p>
        </w:tc>
        <w:tc>
          <w:tcPr>
            <w:tcW w:w="2946" w:type="dxa"/>
            <w:vMerge w:val="continue"/>
            <w:vAlign w:val="center"/>
          </w:tcPr>
          <w:p w14:paraId="7F7C6FFF">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p>
        </w:tc>
      </w:tr>
      <w:tr w14:paraId="75D5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945" w:type="dxa"/>
            <w:vMerge w:val="continue"/>
            <w:vAlign w:val="center"/>
          </w:tcPr>
          <w:p w14:paraId="55324B80">
            <w:pPr>
              <w:pStyle w:val="2"/>
              <w:adjustRightInd w:val="0"/>
              <w:snapToGrid w:val="0"/>
              <w:spacing w:after="0"/>
              <w:ind w:left="0" w:leftChars="0" w:firstLine="0" w:firstLineChars="0"/>
              <w:jc w:val="center"/>
              <w:rPr>
                <w:rFonts w:hint="default" w:ascii="Times New Roman" w:hAnsi="Times New Roman" w:cs="Times New Roman"/>
              </w:rPr>
            </w:pPr>
          </w:p>
        </w:tc>
        <w:tc>
          <w:tcPr>
            <w:tcW w:w="2945" w:type="dxa"/>
            <w:vAlign w:val="center"/>
          </w:tcPr>
          <w:p w14:paraId="1E4613CD">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风机</w:t>
            </w:r>
          </w:p>
        </w:tc>
        <w:tc>
          <w:tcPr>
            <w:tcW w:w="2946" w:type="dxa"/>
            <w:vMerge w:val="continue"/>
            <w:vAlign w:val="center"/>
          </w:tcPr>
          <w:p w14:paraId="74885018">
            <w:pPr>
              <w:pStyle w:val="2"/>
              <w:adjustRightInd w:val="0"/>
              <w:snapToGrid w:val="0"/>
              <w:spacing w:after="0"/>
              <w:ind w:left="0" w:leftChars="0" w:firstLine="0" w:firstLineChars="0"/>
              <w:jc w:val="center"/>
              <w:rPr>
                <w:rFonts w:hint="default" w:ascii="Times New Roman" w:hAnsi="Times New Roman" w:eastAsia="宋体" w:cs="Times New Roman"/>
                <w:sz w:val="21"/>
                <w:szCs w:val="21"/>
              </w:rPr>
            </w:pPr>
          </w:p>
        </w:tc>
      </w:tr>
      <w:tr w14:paraId="7AFA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945" w:type="dxa"/>
            <w:vMerge w:val="continue"/>
            <w:vAlign w:val="center"/>
          </w:tcPr>
          <w:p w14:paraId="313C5465">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p>
        </w:tc>
        <w:tc>
          <w:tcPr>
            <w:tcW w:w="2945" w:type="dxa"/>
            <w:vAlign w:val="center"/>
          </w:tcPr>
          <w:p w14:paraId="4A2A4875">
            <w:pPr>
              <w:pStyle w:val="2"/>
              <w:adjustRightInd w:val="0"/>
              <w:snapToGrid w:val="0"/>
              <w:spacing w:after="0"/>
              <w:ind w:left="0" w:leftChars="0" w:firstLine="0" w:firstLineChars="0"/>
              <w:jc w:val="center"/>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b w:val="0"/>
                <w:bCs w:val="0"/>
                <w:sz w:val="21"/>
                <w:szCs w:val="21"/>
                <w:lang w:val="en-US" w:eastAsia="zh-CN"/>
              </w:rPr>
              <w:t>排气筒</w:t>
            </w:r>
          </w:p>
        </w:tc>
        <w:tc>
          <w:tcPr>
            <w:tcW w:w="2946" w:type="dxa"/>
            <w:vMerge w:val="continue"/>
            <w:vAlign w:val="center"/>
          </w:tcPr>
          <w:p w14:paraId="7E80FC3C">
            <w:pPr>
              <w:pStyle w:val="2"/>
              <w:adjustRightInd w:val="0"/>
              <w:snapToGrid w:val="0"/>
              <w:spacing w:after="0"/>
              <w:ind w:left="0" w:leftChars="0" w:firstLine="0" w:firstLineChars="0"/>
              <w:jc w:val="center"/>
              <w:rPr>
                <w:rFonts w:hint="default" w:ascii="Times New Roman" w:hAnsi="Times New Roman" w:cs="Times New Roman"/>
                <w:color w:val="000000"/>
                <w:sz w:val="21"/>
                <w:szCs w:val="21"/>
                <w:vertAlign w:val="baseline"/>
              </w:rPr>
            </w:pPr>
          </w:p>
        </w:tc>
      </w:tr>
      <w:tr w14:paraId="02C9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945" w:type="dxa"/>
            <w:vAlign w:val="center"/>
          </w:tcPr>
          <w:p w14:paraId="4242AC64">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废水</w:t>
            </w:r>
          </w:p>
        </w:tc>
        <w:tc>
          <w:tcPr>
            <w:tcW w:w="2945" w:type="dxa"/>
            <w:vAlign w:val="center"/>
          </w:tcPr>
          <w:p w14:paraId="60EB345D">
            <w:pPr>
              <w:pStyle w:val="2"/>
              <w:adjustRightInd w:val="0"/>
              <w:snapToGrid w:val="0"/>
              <w:spacing w:after="0"/>
              <w:ind w:left="0" w:leftChars="0" w:firstLine="0" w:firstLineChars="0"/>
              <w:jc w:val="center"/>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sz w:val="21"/>
                <w:szCs w:val="21"/>
              </w:rPr>
              <w:t>污水处理一体化系统</w:t>
            </w:r>
          </w:p>
        </w:tc>
        <w:tc>
          <w:tcPr>
            <w:tcW w:w="2946" w:type="dxa"/>
            <w:vAlign w:val="center"/>
          </w:tcPr>
          <w:p w14:paraId="57823799">
            <w:pPr>
              <w:pStyle w:val="2"/>
              <w:adjustRightInd w:val="0"/>
              <w:snapToGrid w:val="0"/>
              <w:spacing w:after="0"/>
              <w:ind w:left="0" w:leftChars="0" w:firstLine="0" w:firstLineChars="0"/>
              <w:jc w:val="center"/>
              <w:rPr>
                <w:rFonts w:hint="default" w:ascii="Times New Roman" w:hAnsi="Times New Roman" w:cs="Times New Roman" w:eastAsiaTheme="minorEastAsia"/>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100</w:t>
            </w:r>
          </w:p>
        </w:tc>
      </w:tr>
      <w:tr w14:paraId="7ED7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945" w:type="dxa"/>
            <w:vAlign w:val="center"/>
          </w:tcPr>
          <w:p w14:paraId="2F1757E5">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固废</w:t>
            </w:r>
          </w:p>
        </w:tc>
        <w:tc>
          <w:tcPr>
            <w:tcW w:w="2945" w:type="dxa"/>
            <w:vAlign w:val="center"/>
          </w:tcPr>
          <w:p w14:paraId="59E56EF9">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固废间</w:t>
            </w:r>
          </w:p>
        </w:tc>
        <w:tc>
          <w:tcPr>
            <w:tcW w:w="2946" w:type="dxa"/>
            <w:vAlign w:val="center"/>
          </w:tcPr>
          <w:p w14:paraId="67006E30">
            <w:pPr>
              <w:pStyle w:val="2"/>
              <w:adjustRightInd w:val="0"/>
              <w:snapToGrid w:val="0"/>
              <w:spacing w:after="0"/>
              <w:ind w:left="0" w:leftChars="0" w:firstLine="0" w:firstLineChars="0"/>
              <w:jc w:val="center"/>
              <w:rPr>
                <w:rFonts w:hint="default" w:ascii="Times New Roman" w:hAnsi="Times New Roman" w:cs="Times New Roman" w:eastAsiaTheme="minorEastAsia"/>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5</w:t>
            </w:r>
            <w:r>
              <w:rPr>
                <w:rFonts w:hint="default" w:ascii="Times New Roman" w:hAnsi="Times New Roman" w:cs="Times New Roman"/>
                <w:color w:val="000000"/>
                <w:sz w:val="21"/>
                <w:szCs w:val="21"/>
                <w:vertAlign w:val="baseline"/>
                <w:lang w:val="en-US" w:eastAsia="zh-CN"/>
              </w:rPr>
              <w:t>0</w:t>
            </w:r>
          </w:p>
        </w:tc>
      </w:tr>
      <w:tr w14:paraId="590F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945" w:type="dxa"/>
            <w:vAlign w:val="center"/>
          </w:tcPr>
          <w:p w14:paraId="3A94B31C">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噪声</w:t>
            </w:r>
          </w:p>
        </w:tc>
        <w:tc>
          <w:tcPr>
            <w:tcW w:w="2945" w:type="dxa"/>
            <w:vAlign w:val="center"/>
          </w:tcPr>
          <w:p w14:paraId="2B1EA923">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隔声、减震等措施</w:t>
            </w:r>
          </w:p>
        </w:tc>
        <w:tc>
          <w:tcPr>
            <w:tcW w:w="2946" w:type="dxa"/>
            <w:vAlign w:val="center"/>
          </w:tcPr>
          <w:p w14:paraId="224EDAD8">
            <w:pPr>
              <w:pStyle w:val="2"/>
              <w:adjustRightInd w:val="0"/>
              <w:snapToGrid w:val="0"/>
              <w:spacing w:after="0"/>
              <w:ind w:left="0" w:leftChars="0" w:firstLine="0" w:firstLineChars="0"/>
              <w:jc w:val="center"/>
              <w:rPr>
                <w:rFonts w:hint="default" w:ascii="Times New Roman" w:hAnsi="Times New Roman" w:cs="Times New Roman" w:eastAsiaTheme="minorEastAsia"/>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5</w:t>
            </w:r>
            <w:r>
              <w:rPr>
                <w:rFonts w:hint="default" w:ascii="Times New Roman" w:hAnsi="Times New Roman" w:cs="Times New Roman"/>
                <w:color w:val="000000"/>
                <w:sz w:val="21"/>
                <w:szCs w:val="21"/>
                <w:vertAlign w:val="baseline"/>
                <w:lang w:val="en-US" w:eastAsia="zh-CN"/>
              </w:rPr>
              <w:t>0</w:t>
            </w:r>
          </w:p>
        </w:tc>
      </w:tr>
      <w:tr w14:paraId="196B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945" w:type="dxa"/>
            <w:vAlign w:val="center"/>
          </w:tcPr>
          <w:p w14:paraId="0FFDF969">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合计</w:t>
            </w:r>
          </w:p>
        </w:tc>
        <w:tc>
          <w:tcPr>
            <w:tcW w:w="2945" w:type="dxa"/>
            <w:vAlign w:val="center"/>
          </w:tcPr>
          <w:p w14:paraId="6FE8D820">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rPr>
            </w:pPr>
            <w:r>
              <w:rPr>
                <w:rFonts w:hint="default" w:ascii="Times New Roman" w:hAnsi="Times New Roman" w:eastAsia="宋体" w:cs="Times New Roman"/>
                <w:b w:val="0"/>
                <w:bCs w:val="0"/>
                <w:sz w:val="21"/>
                <w:szCs w:val="21"/>
                <w:lang w:val="en-US" w:eastAsia="zh-CN"/>
              </w:rPr>
              <w:t>/</w:t>
            </w:r>
          </w:p>
        </w:tc>
        <w:tc>
          <w:tcPr>
            <w:tcW w:w="2946" w:type="dxa"/>
            <w:vAlign w:val="center"/>
          </w:tcPr>
          <w:p w14:paraId="5B9FBB49">
            <w:pPr>
              <w:pStyle w:val="2"/>
              <w:adjustRightInd w:val="0"/>
              <w:snapToGrid w:val="0"/>
              <w:spacing w:after="0"/>
              <w:ind w:left="0" w:leftChars="0" w:firstLine="0" w:firstLineChars="0"/>
              <w:jc w:val="center"/>
              <w:rPr>
                <w:rFonts w:hint="default" w:ascii="Times New Roman" w:hAnsi="Times New Roman" w:cs="Times New Roman"/>
                <w:color w:val="000000"/>
                <w:sz w:val="24"/>
                <w:szCs w:val="28"/>
                <w:vertAlign w:val="baseline"/>
                <w:lang w:val="en-US"/>
              </w:rPr>
            </w:pPr>
            <w:r>
              <w:rPr>
                <w:rFonts w:hint="default" w:ascii="Times New Roman" w:hAnsi="Times New Roman" w:eastAsia="宋体" w:cs="Times New Roman"/>
                <w:b w:val="0"/>
                <w:bCs w:val="0"/>
                <w:sz w:val="21"/>
                <w:szCs w:val="21"/>
                <w:lang w:val="en-US" w:eastAsia="zh-CN"/>
              </w:rPr>
              <w:t>1100</w:t>
            </w:r>
          </w:p>
        </w:tc>
      </w:tr>
    </w:tbl>
    <w:p w14:paraId="7E47FD74">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w:t>
      </w:r>
      <w:r>
        <w:rPr>
          <w:rFonts w:hint="eastAsia" w:cs="Times New Roman"/>
          <w:color w:val="000000"/>
          <w:sz w:val="24"/>
          <w:szCs w:val="28"/>
          <w:lang w:eastAsia="zh-CN"/>
        </w:rPr>
        <w:t>“</w:t>
      </w:r>
      <w:r>
        <w:rPr>
          <w:rFonts w:hint="default" w:ascii="Times New Roman" w:hAnsi="Times New Roman" w:cs="Times New Roman"/>
          <w:color w:val="000000"/>
          <w:sz w:val="24"/>
          <w:szCs w:val="28"/>
        </w:rPr>
        <w:t>三同时</w:t>
      </w:r>
      <w:r>
        <w:rPr>
          <w:rFonts w:hint="eastAsia" w:cs="Times New Roman"/>
          <w:color w:val="000000"/>
          <w:sz w:val="24"/>
          <w:szCs w:val="28"/>
          <w:lang w:eastAsia="zh-CN"/>
        </w:rPr>
        <w:t>”</w:t>
      </w:r>
      <w:r>
        <w:rPr>
          <w:rFonts w:hint="default" w:ascii="Times New Roman" w:hAnsi="Times New Roman" w:cs="Times New Roman"/>
          <w:color w:val="000000"/>
          <w:sz w:val="24"/>
          <w:szCs w:val="28"/>
        </w:rPr>
        <w:t>落实情况</w:t>
      </w:r>
    </w:p>
    <w:p w14:paraId="147514BC">
      <w:pPr>
        <w:pStyle w:val="3"/>
        <w:spacing w:after="0" w:line="360" w:lineRule="auto"/>
        <w:ind w:left="0" w:firstLine="480" w:firstLineChars="200"/>
        <w:rPr>
          <w:rFonts w:hint="default" w:ascii="Times New Roman" w:hAnsi="Times New Roman" w:cs="Times New Roman"/>
          <w:color w:val="000000"/>
          <w:sz w:val="24"/>
          <w:szCs w:val="28"/>
        </w:rPr>
      </w:pPr>
      <w:bookmarkStart w:id="33" w:name="_Toc502264597"/>
      <w:r>
        <w:rPr>
          <w:rFonts w:hint="default" w:ascii="Times New Roman" w:hAnsi="Times New Roman" w:cs="Times New Roman"/>
          <w:sz w:val="24"/>
          <w:szCs w:val="28"/>
        </w:rPr>
        <w:t>目前厂区已正常生产，配套环保处理装置均按初步设计</w:t>
      </w:r>
      <w:r>
        <w:rPr>
          <w:rFonts w:hint="default" w:ascii="Times New Roman" w:hAnsi="Times New Roman" w:cs="Times New Roman"/>
          <w:color w:val="000000"/>
          <w:sz w:val="24"/>
          <w:szCs w:val="28"/>
        </w:rPr>
        <w:t>情况安装并可以正</w:t>
      </w:r>
      <w:r>
        <w:rPr>
          <w:color w:val="000000"/>
          <w:sz w:val="24"/>
          <w:szCs w:val="28"/>
        </w:rPr>
        <w:t>常运</w:t>
      </w:r>
      <w:r>
        <w:rPr>
          <w:rFonts w:hint="default" w:ascii="Times New Roman" w:hAnsi="Times New Roman" w:cs="Times New Roman"/>
          <w:color w:val="000000"/>
          <w:sz w:val="24"/>
          <w:szCs w:val="28"/>
        </w:rPr>
        <w:t>行。各项目环保措施基本落实到位。</w:t>
      </w:r>
      <w:bookmarkEnd w:id="33"/>
    </w:p>
    <w:p w14:paraId="67BB59C0">
      <w:pPr>
        <w:widowControl/>
        <w:adjustRightInd w:val="0"/>
        <w:snapToGrid w:val="0"/>
        <w:ind w:firstLine="442" w:firstLineChars="200"/>
        <w:jc w:val="center"/>
        <w:rPr>
          <w:rFonts w:hint="default" w:ascii="Times New Roman" w:hAnsi="Times New Roman" w:eastAsia="宋体" w:cs="Times New Roman"/>
          <w:b/>
          <w:color w:val="000000" w:themeColor="text1"/>
          <w:kern w:val="0"/>
          <w:sz w:val="22"/>
          <w:szCs w:val="22"/>
          <w14:textFill>
            <w14:solidFill>
              <w14:schemeClr w14:val="tx1"/>
            </w14:solidFill>
          </w14:textFill>
        </w:rPr>
      </w:pPr>
      <w:r>
        <w:rPr>
          <w:rFonts w:hint="default" w:ascii="Times New Roman" w:hAnsi="Times New Roman" w:eastAsia="宋体" w:cs="Times New Roman"/>
          <w:b/>
          <w:color w:val="000000" w:themeColor="text1"/>
          <w:kern w:val="0"/>
          <w:sz w:val="22"/>
          <w:szCs w:val="22"/>
          <w14:textFill>
            <w14:solidFill>
              <w14:schemeClr w14:val="tx1"/>
            </w14:solidFill>
          </w14:textFill>
        </w:rPr>
        <w:t>表4-</w:t>
      </w:r>
      <w:r>
        <w:rPr>
          <w:rFonts w:hint="eastAsia" w:ascii="Times New Roman" w:hAnsi="Times New Roman" w:eastAsia="宋体" w:cs="Times New Roman"/>
          <w:b/>
          <w:color w:val="000000" w:themeColor="text1"/>
          <w:kern w:val="0"/>
          <w:sz w:val="22"/>
          <w:szCs w:val="22"/>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2"/>
          <w:szCs w:val="22"/>
          <w14:textFill>
            <w14:solidFill>
              <w14:schemeClr w14:val="tx1"/>
            </w14:solidFill>
          </w14:textFill>
        </w:rPr>
        <w:t xml:space="preserve">  环保</w:t>
      </w:r>
      <w:r>
        <w:rPr>
          <w:rFonts w:hint="eastAsia" w:ascii="Times New Roman" w:hAnsi="Times New Roman" w:eastAsia="宋体" w:cs="Times New Roman"/>
          <w:b/>
          <w:color w:val="000000" w:themeColor="text1"/>
          <w:kern w:val="0"/>
          <w:sz w:val="22"/>
          <w:szCs w:val="22"/>
          <w:lang w:eastAsia="zh-CN"/>
          <w14:textFill>
            <w14:solidFill>
              <w14:schemeClr w14:val="tx1"/>
            </w14:solidFill>
          </w14:textFill>
        </w:rPr>
        <w:t>“</w:t>
      </w:r>
      <w:r>
        <w:rPr>
          <w:rFonts w:hint="default" w:ascii="Times New Roman" w:hAnsi="Times New Roman" w:eastAsia="宋体" w:cs="Times New Roman"/>
          <w:b/>
          <w:color w:val="000000" w:themeColor="text1"/>
          <w:kern w:val="0"/>
          <w:sz w:val="22"/>
          <w:szCs w:val="22"/>
          <w14:textFill>
            <w14:solidFill>
              <w14:schemeClr w14:val="tx1"/>
            </w14:solidFill>
          </w14:textFill>
        </w:rPr>
        <w:t>三同时</w:t>
      </w:r>
      <w:r>
        <w:rPr>
          <w:rFonts w:hint="eastAsia" w:ascii="Times New Roman" w:hAnsi="Times New Roman" w:eastAsia="宋体" w:cs="Times New Roman"/>
          <w:b/>
          <w:color w:val="000000" w:themeColor="text1"/>
          <w:kern w:val="0"/>
          <w:sz w:val="22"/>
          <w:szCs w:val="22"/>
          <w:lang w:eastAsia="zh-CN"/>
          <w14:textFill>
            <w14:solidFill>
              <w14:schemeClr w14:val="tx1"/>
            </w14:solidFill>
          </w14:textFill>
        </w:rPr>
        <w:t>”</w:t>
      </w:r>
      <w:r>
        <w:rPr>
          <w:rFonts w:hint="default" w:ascii="Times New Roman" w:hAnsi="Times New Roman" w:eastAsia="宋体" w:cs="Times New Roman"/>
          <w:b/>
          <w:color w:val="000000" w:themeColor="text1"/>
          <w:kern w:val="0"/>
          <w:sz w:val="22"/>
          <w:szCs w:val="22"/>
          <w14:textFill>
            <w14:solidFill>
              <w14:schemeClr w14:val="tx1"/>
            </w14:solidFill>
          </w14:textFill>
        </w:rPr>
        <w:t>验收一览表</w:t>
      </w:r>
    </w:p>
    <w:tbl>
      <w:tblPr>
        <w:tblStyle w:val="33"/>
        <w:tblW w:w="49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77"/>
        <w:gridCol w:w="4499"/>
        <w:gridCol w:w="847"/>
      </w:tblGrid>
      <w:tr w14:paraId="08E9F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jc w:val="center"/>
        </w:trPr>
        <w:tc>
          <w:tcPr>
            <w:tcW w:w="2070" w:type="pct"/>
            <w:tcBorders>
              <w:top w:val="single" w:color="000000" w:sz="4" w:space="0"/>
              <w:left w:val="single" w:color="000000" w:sz="4" w:space="0"/>
              <w:bottom w:val="single" w:color="000000" w:sz="4" w:space="0"/>
              <w:right w:val="single" w:color="000000" w:sz="4" w:space="0"/>
            </w:tcBorders>
            <w:vAlign w:val="center"/>
          </w:tcPr>
          <w:p w14:paraId="619B0BD5">
            <w:pPr>
              <w:tabs>
                <w:tab w:val="left" w:pos="1995"/>
              </w:tabs>
              <w:spacing w:line="360" w:lineRule="exact"/>
              <w:jc w:val="center"/>
              <w:rPr>
                <w:rFonts w:hint="default" w:ascii="Times New Roman" w:hAnsi="Times New Roman" w:eastAsia="宋体" w:cs="Times New Roman"/>
                <w:b/>
                <w:bCs w:val="0"/>
                <w:sz w:val="21"/>
                <w:szCs w:val="21"/>
              </w:rPr>
            </w:pPr>
            <w:bookmarkStart w:id="34" w:name="_Toc16788"/>
            <w:r>
              <w:rPr>
                <w:rFonts w:hint="default" w:ascii="Times New Roman" w:hAnsi="Times New Roman" w:eastAsia="宋体" w:cs="Times New Roman"/>
                <w:b/>
                <w:bCs w:val="0"/>
                <w:sz w:val="21"/>
                <w:szCs w:val="21"/>
              </w:rPr>
              <w:t>环评批复要求</w:t>
            </w:r>
          </w:p>
        </w:tc>
        <w:tc>
          <w:tcPr>
            <w:tcW w:w="2465" w:type="pct"/>
            <w:tcBorders>
              <w:top w:val="single" w:color="000000" w:sz="4" w:space="0"/>
              <w:left w:val="single" w:color="000000" w:sz="4" w:space="0"/>
              <w:bottom w:val="single" w:color="000000" w:sz="4" w:space="0"/>
              <w:right w:val="single" w:color="auto" w:sz="4" w:space="0"/>
            </w:tcBorders>
            <w:vAlign w:val="center"/>
          </w:tcPr>
          <w:p w14:paraId="21F1F259">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实际建设内容</w:t>
            </w:r>
          </w:p>
        </w:tc>
        <w:tc>
          <w:tcPr>
            <w:tcW w:w="464" w:type="pct"/>
            <w:tcBorders>
              <w:top w:val="single" w:color="000000" w:sz="4" w:space="0"/>
              <w:left w:val="single" w:color="auto" w:sz="4" w:space="0"/>
              <w:bottom w:val="single" w:color="000000" w:sz="4" w:space="0"/>
              <w:right w:val="single" w:color="000000" w:sz="4" w:space="0"/>
            </w:tcBorders>
            <w:vAlign w:val="center"/>
          </w:tcPr>
          <w:p w14:paraId="0503D98B">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落实情况</w:t>
            </w:r>
          </w:p>
        </w:tc>
      </w:tr>
      <w:tr w14:paraId="729D9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6" w:hRule="atLeast"/>
          <w:jc w:val="center"/>
        </w:trPr>
        <w:tc>
          <w:tcPr>
            <w:tcW w:w="2070" w:type="pct"/>
            <w:tcBorders>
              <w:top w:val="single" w:color="000000" w:sz="4" w:space="0"/>
              <w:left w:val="single" w:color="000000" w:sz="4" w:space="0"/>
              <w:bottom w:val="single" w:color="000000" w:sz="4" w:space="0"/>
              <w:right w:val="single" w:color="000000" w:sz="4" w:space="0"/>
            </w:tcBorders>
            <w:vAlign w:val="center"/>
          </w:tcPr>
          <w:p w14:paraId="123B7612">
            <w:pPr>
              <w:autoSpaceDE w:val="0"/>
              <w:autoSpaceDN w:val="0"/>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做好施工期问的环境保护工作，合理安排施工期和作息时间，做到文明施工。严格控制施工期间的扬尘污染和水土流失;严格执行《建筑施工厂界环境噪声排放标准》(GB12523-2011)标准要求;对施工期产生的各类固废要分类、及时、妥善处理。选用低噪声设备，采取有效的隔声、吸声、消声、减振等措施，并加强厂区绿化，确保噪声达到《工业企业厂界环境噪声排放标准》(GB12348-2008)中3类区标准。</w:t>
            </w:r>
          </w:p>
        </w:tc>
        <w:tc>
          <w:tcPr>
            <w:tcW w:w="2465" w:type="pct"/>
            <w:tcBorders>
              <w:top w:val="single" w:color="000000" w:sz="4" w:space="0"/>
              <w:left w:val="single" w:color="000000" w:sz="4" w:space="0"/>
              <w:bottom w:val="single" w:color="000000" w:sz="4" w:space="0"/>
              <w:right w:val="single" w:color="auto" w:sz="4" w:space="0"/>
            </w:tcBorders>
            <w:vAlign w:val="center"/>
          </w:tcPr>
          <w:p w14:paraId="171530F5">
            <w:pPr>
              <w:autoSpaceDE w:val="0"/>
              <w:autoSpaceDN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w:t>
            </w:r>
            <w:r>
              <w:rPr>
                <w:rFonts w:hint="default" w:ascii="Times New Roman" w:hAnsi="Times New Roman" w:eastAsia="宋体" w:cs="Times New Roman"/>
                <w:sz w:val="21"/>
                <w:szCs w:val="21"/>
                <w:lang w:val="en-US" w:eastAsia="zh-CN"/>
              </w:rPr>
              <w:t>做好施工期问的环境保护工作，</w:t>
            </w:r>
            <w:r>
              <w:rPr>
                <w:rFonts w:hint="eastAsia" w:ascii="Times New Roman" w:hAnsi="Times New Roman" w:eastAsia="宋体" w:cs="Times New Roman"/>
                <w:sz w:val="21"/>
                <w:szCs w:val="21"/>
                <w:lang w:val="en-US" w:eastAsia="zh-CN"/>
              </w:rPr>
              <w:t>施工期间已</w:t>
            </w:r>
            <w:r>
              <w:rPr>
                <w:rFonts w:hint="default" w:ascii="Times New Roman" w:hAnsi="Times New Roman" w:eastAsia="宋体" w:cs="Times New Roman"/>
                <w:sz w:val="21"/>
                <w:szCs w:val="21"/>
                <w:lang w:val="en-US" w:eastAsia="zh-CN"/>
              </w:rPr>
              <w:t>合理安排施工期和作息时间，做到文明施工。</w:t>
            </w:r>
            <w:r>
              <w:rPr>
                <w:rFonts w:hint="eastAsia" w:ascii="Times New Roman" w:hAnsi="Times New Roman" w:eastAsia="宋体" w:cs="Times New Roman"/>
                <w:sz w:val="21"/>
                <w:szCs w:val="21"/>
                <w:lang w:val="en-US" w:eastAsia="zh-CN"/>
              </w:rPr>
              <w:t>已</w:t>
            </w:r>
            <w:r>
              <w:rPr>
                <w:rFonts w:hint="default" w:ascii="Times New Roman" w:hAnsi="Times New Roman" w:eastAsia="宋体" w:cs="Times New Roman"/>
                <w:sz w:val="21"/>
                <w:szCs w:val="21"/>
                <w:lang w:val="en-US" w:eastAsia="zh-CN"/>
              </w:rPr>
              <w:t>严格控制施工期间的扬尘污染和水土流失</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严格执行</w:t>
            </w:r>
            <w:r>
              <w:rPr>
                <w:rFonts w:hint="eastAsia" w:ascii="Times New Roman" w:hAnsi="Times New Roman" w:eastAsia="宋体" w:cs="Times New Roman"/>
                <w:sz w:val="21"/>
                <w:szCs w:val="21"/>
                <w:lang w:val="en-US" w:eastAsia="zh-CN"/>
              </w:rPr>
              <w:t>了</w:t>
            </w:r>
            <w:r>
              <w:rPr>
                <w:rFonts w:hint="default" w:ascii="Times New Roman" w:hAnsi="Times New Roman" w:eastAsia="宋体" w:cs="Times New Roman"/>
                <w:sz w:val="21"/>
                <w:szCs w:val="21"/>
                <w:lang w:val="en-US" w:eastAsia="zh-CN"/>
              </w:rPr>
              <w:t>《建筑施工厂界环境噪声排放标准》(GB12523-2011)标准要求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对施工期产生的各类固废要分类、及时、妥善处理。选用低噪声设备，采取有效的隔声、吸声、消声、减振等措施，并加强厂区绿化，</w:t>
            </w:r>
            <w:r>
              <w:rPr>
                <w:rFonts w:hint="eastAsia" w:ascii="Times New Roman" w:hAnsi="Times New Roman" w:eastAsia="宋体" w:cs="Times New Roman"/>
                <w:sz w:val="21"/>
                <w:szCs w:val="21"/>
                <w:lang w:val="en-US" w:eastAsia="zh-CN"/>
              </w:rPr>
              <w:t>已</w:t>
            </w:r>
            <w:r>
              <w:rPr>
                <w:rFonts w:hint="default" w:ascii="Times New Roman" w:hAnsi="Times New Roman" w:eastAsia="宋体" w:cs="Times New Roman"/>
                <w:sz w:val="21"/>
                <w:szCs w:val="21"/>
                <w:lang w:val="en-US" w:eastAsia="zh-CN"/>
              </w:rPr>
              <w:t>确保噪声达到《工业企业厂界环境噪声排放标准》(GB12348-2008)中3类区标准。</w:t>
            </w:r>
          </w:p>
        </w:tc>
        <w:tc>
          <w:tcPr>
            <w:tcW w:w="464" w:type="pct"/>
            <w:tcBorders>
              <w:top w:val="single" w:color="000000" w:sz="4" w:space="0"/>
              <w:left w:val="single" w:color="auto" w:sz="4" w:space="0"/>
              <w:bottom w:val="single" w:color="000000" w:sz="4" w:space="0"/>
              <w:right w:val="single" w:color="000000" w:sz="4" w:space="0"/>
            </w:tcBorders>
            <w:vAlign w:val="center"/>
          </w:tcPr>
          <w:p w14:paraId="219E8A27">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Cs/>
                <w:sz w:val="21"/>
                <w:szCs w:val="21"/>
                <w:lang w:val="en-US" w:eastAsia="zh-CN"/>
              </w:rPr>
              <w:t>已落实</w:t>
            </w:r>
          </w:p>
        </w:tc>
      </w:tr>
      <w:tr w14:paraId="5A7E4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8" w:hRule="atLeast"/>
          <w:jc w:val="center"/>
        </w:trPr>
        <w:tc>
          <w:tcPr>
            <w:tcW w:w="2070" w:type="pct"/>
            <w:tcBorders>
              <w:top w:val="single" w:color="000000" w:sz="4" w:space="0"/>
              <w:left w:val="single" w:color="000000" w:sz="4" w:space="0"/>
              <w:bottom w:val="single" w:color="000000" w:sz="4" w:space="0"/>
              <w:right w:val="single" w:color="000000" w:sz="4" w:space="0"/>
            </w:tcBorders>
            <w:vAlign w:val="center"/>
          </w:tcPr>
          <w:p w14:paraId="305F6D1F">
            <w:pPr>
              <w:autoSpaceDE w:val="0"/>
              <w:autoSpaceDN w:val="0"/>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按照雨污分流原则设计和建设厂区排水系统。碱喷淋产生的生产废水经污水处理一体化系统处理后和经化类池处理后的生活污水达到港航产业园污水处理厂接纳标准后进入港航产业园污水处理厂处理。</w:t>
            </w:r>
          </w:p>
        </w:tc>
        <w:tc>
          <w:tcPr>
            <w:tcW w:w="2465" w:type="pct"/>
            <w:tcBorders>
              <w:top w:val="single" w:color="000000" w:sz="4" w:space="0"/>
              <w:left w:val="single" w:color="000000" w:sz="4" w:space="0"/>
              <w:bottom w:val="single" w:color="000000" w:sz="4" w:space="0"/>
              <w:right w:val="single" w:color="auto" w:sz="4" w:space="0"/>
            </w:tcBorders>
            <w:vAlign w:val="center"/>
          </w:tcPr>
          <w:p w14:paraId="6ACE8B7B">
            <w:pPr>
              <w:ind w:firstLine="420"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w:t>
            </w:r>
            <w:r>
              <w:rPr>
                <w:rFonts w:hint="default" w:ascii="Times New Roman" w:hAnsi="Times New Roman" w:eastAsia="宋体" w:cs="Times New Roman"/>
                <w:sz w:val="21"/>
                <w:szCs w:val="21"/>
                <w:lang w:val="en-US" w:eastAsia="zh-CN"/>
              </w:rPr>
              <w:t>按照雨污分流原则设计和建设厂区排水系统。碱喷淋产生的生产废水经污水处理一体化系统处理后和经化类池处理后的生活污水</w:t>
            </w:r>
            <w:r>
              <w:rPr>
                <w:rFonts w:hint="eastAsia" w:ascii="Times New Roman" w:hAnsi="Times New Roman" w:eastAsia="宋体" w:cs="Times New Roman"/>
                <w:sz w:val="21"/>
                <w:szCs w:val="21"/>
                <w:lang w:val="en-US" w:eastAsia="zh-CN"/>
              </w:rPr>
              <w:t>水质根据验收检测报告</w:t>
            </w:r>
            <w:r>
              <w:rPr>
                <w:rFonts w:hint="default" w:ascii="Times New Roman" w:hAnsi="Times New Roman" w:eastAsia="宋体" w:cs="Times New Roman"/>
                <w:sz w:val="21"/>
                <w:szCs w:val="21"/>
                <w:lang w:val="en-US" w:eastAsia="zh-CN"/>
              </w:rPr>
              <w:t>港航产业园污水处理厂接纳标准后进入港航产业园污水处理厂处理。</w:t>
            </w:r>
          </w:p>
        </w:tc>
        <w:tc>
          <w:tcPr>
            <w:tcW w:w="464" w:type="pct"/>
            <w:tcBorders>
              <w:top w:val="single" w:color="000000" w:sz="4" w:space="0"/>
              <w:left w:val="single" w:color="auto" w:sz="4" w:space="0"/>
              <w:bottom w:val="single" w:color="000000" w:sz="4" w:space="0"/>
              <w:right w:val="single" w:color="000000" w:sz="4" w:space="0"/>
            </w:tcBorders>
            <w:vAlign w:val="center"/>
          </w:tcPr>
          <w:p w14:paraId="11B86103">
            <w:pPr>
              <w:tabs>
                <w:tab w:val="left" w:pos="1995"/>
              </w:tabs>
              <w:spacing w:line="36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已落实</w:t>
            </w:r>
          </w:p>
        </w:tc>
      </w:tr>
      <w:tr w14:paraId="4C89C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5" w:hRule="atLeast"/>
          <w:jc w:val="center"/>
        </w:trPr>
        <w:tc>
          <w:tcPr>
            <w:tcW w:w="2070" w:type="pct"/>
            <w:tcBorders>
              <w:top w:val="single" w:color="000000" w:sz="4" w:space="0"/>
              <w:left w:val="single" w:color="000000" w:sz="4" w:space="0"/>
              <w:bottom w:val="single" w:color="000000" w:sz="4" w:space="0"/>
              <w:right w:val="single" w:color="000000" w:sz="4" w:space="0"/>
            </w:tcBorders>
            <w:vAlign w:val="center"/>
          </w:tcPr>
          <w:p w14:paraId="27FB314F">
            <w:pPr>
              <w:autoSpaceDE w:val="0"/>
              <w:autoSpaceDN w:val="0"/>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生产用热采用园区内蒸汽供热。吹塑包装车间产生的有机废气经负压抽没装置收集后引至1套二级活性炭吸附装置进行处理，然后通过1根15m高排气简DA001排放，有组织VOCs排放需满足《挥发性有机物排放控制标准第6部分:有机化工行业》(DB37/2801.6-2018)表1时段排放限值要求，吹塑包装车问厂界无组织VOCs浓度需满足《挥发性有机物排放控制标准第6部分:有机化工行业》(DB37/2801.6-2018)表3厂界无组织监控点挥发性有机物浓度限值要求;酷酸生产车问的过滤、精馏、分装以及存储的废气废气经管道收集后通过碱喷淋+活性炭吸附装置进行处理、然后由1根1m高排气简DA002排放，有组织VOCs排放需满足《挥发性有机物排放标准第7部分:其他行业》(DB37/2801.7-2019)表1时段排放展值要求，酷酸车间无组织VOCs浓度需满足《挥发性有机物排放标准第</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部分:其他行业》(DB37/2801.7-2019)表2厂界无组织监控值要求;厂区内无组织VOCs排放浓度需满足《挥发性有机物无组织排放控制标准》(GB37822-2019)附录A中表A.1中特别排放限值要求。</w:t>
            </w:r>
          </w:p>
        </w:tc>
        <w:tc>
          <w:tcPr>
            <w:tcW w:w="2465" w:type="pct"/>
            <w:tcBorders>
              <w:top w:val="single" w:color="000000" w:sz="4" w:space="0"/>
              <w:left w:val="single" w:color="000000" w:sz="4" w:space="0"/>
              <w:bottom w:val="single" w:color="000000" w:sz="4" w:space="0"/>
              <w:right w:val="single" w:color="auto" w:sz="4" w:space="0"/>
            </w:tcBorders>
            <w:vAlign w:val="center"/>
          </w:tcPr>
          <w:p w14:paraId="7B21F211">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项目生产用热采用园区内蒸汽供热。吹塑包装车间产生的有机废气经负压装置收集后引至1套二级活性炭吸附装置进行处理，然后通过1根15m高排气简DA001排放，</w:t>
            </w:r>
            <w:r>
              <w:rPr>
                <w:rFonts w:hint="eastAsia" w:ascii="Times New Roman" w:hAnsi="Times New Roman" w:eastAsia="宋体" w:cs="Times New Roman"/>
                <w:szCs w:val="21"/>
                <w:lang w:val="en-US" w:eastAsia="zh-CN"/>
              </w:rPr>
              <w:t>根据监测数据</w:t>
            </w:r>
            <w:r>
              <w:rPr>
                <w:rFonts w:hint="default" w:ascii="Times New Roman" w:hAnsi="Times New Roman" w:eastAsia="宋体" w:cs="Times New Roman"/>
                <w:szCs w:val="21"/>
                <w:lang w:val="en-US" w:eastAsia="zh-CN"/>
              </w:rPr>
              <w:t>有组织VOCs排放需满足《挥发性有机物排放控制标准第6部分:有机化工行业》(DB37/2801.6-2018)表1时段排放限值要求，</w:t>
            </w:r>
            <w:r>
              <w:rPr>
                <w:rFonts w:hint="eastAsia" w:ascii="Times New Roman" w:hAnsi="Times New Roman" w:eastAsia="宋体" w:cs="Times New Roman"/>
                <w:szCs w:val="21"/>
                <w:lang w:val="en-US" w:eastAsia="zh-CN"/>
              </w:rPr>
              <w:t>根据验收监测数据</w:t>
            </w:r>
            <w:r>
              <w:rPr>
                <w:rFonts w:hint="default" w:ascii="Times New Roman" w:hAnsi="Times New Roman" w:eastAsia="宋体" w:cs="Times New Roman"/>
                <w:szCs w:val="21"/>
                <w:lang w:val="en-US" w:eastAsia="zh-CN"/>
              </w:rPr>
              <w:t>吹塑包装车</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厂界无组织VOCs浓度满足《挥发性有机物排放控制标准第6部分:有机化工行业》(DB37/2801.6-2018)表3厂界无组织监控点挥发性有机物浓度限值要求</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酷酸生产车问的过滤、精馏、分装以及存储的废气废气经管道收集后通过碱喷淋+活性炭吸附装置进行处理然后由1根1m高排气简DA002排放，</w:t>
            </w:r>
            <w:r>
              <w:rPr>
                <w:rFonts w:hint="eastAsia" w:ascii="Times New Roman" w:hAnsi="Times New Roman" w:eastAsia="宋体" w:cs="Times New Roman"/>
                <w:szCs w:val="21"/>
                <w:lang w:val="en-US" w:eastAsia="zh-CN"/>
              </w:rPr>
              <w:t>根据验收检测数据</w:t>
            </w:r>
            <w:r>
              <w:rPr>
                <w:rFonts w:hint="default" w:ascii="Times New Roman" w:hAnsi="Times New Roman" w:eastAsia="宋体" w:cs="Times New Roman"/>
                <w:szCs w:val="21"/>
                <w:lang w:val="en-US" w:eastAsia="zh-CN"/>
              </w:rPr>
              <w:t>有组织VOCs排放需满足《挥发性有机物排放标准第7部分:其他行业》(DB37/2801.7-2019)表1时段排放展值要求，酷酸车间无组织VOCs浓度需满足《挥发性有机物排放标准第了部分:其他行业》(DB37/2801.7-2019)表2厂界无组织监控值要求</w:t>
            </w:r>
            <w:r>
              <w:rPr>
                <w:rFonts w:hint="eastAsia" w:ascii="Times New Roman" w:hAnsi="Times New Roman" w:eastAsia="宋体" w:cs="Times New Roman"/>
                <w:szCs w:val="21"/>
                <w:lang w:val="en-US" w:eastAsia="zh-CN"/>
              </w:rPr>
              <w:t>；</w:t>
            </w:r>
          </w:p>
          <w:p w14:paraId="68B8F633">
            <w:pPr>
              <w:spacing w:line="300" w:lineRule="exact"/>
              <w:ind w:firstLine="420" w:firstLineChars="2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厂区内无组织VOCs排放浓度需满足《挥发性有机物无组织排放控制标准》</w:t>
            </w:r>
          </w:p>
          <w:p w14:paraId="5CB75E95">
            <w:pPr>
              <w:autoSpaceDE w:val="0"/>
              <w:autoSpaceDN w:val="0"/>
              <w:spacing w:line="240" w:lineRule="auto"/>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(GB37822-2019)附录A中表A.1中特别排放限值要求</w:t>
            </w:r>
            <w:r>
              <w:rPr>
                <w:rFonts w:hint="eastAsia" w:ascii="Times New Roman" w:hAnsi="Times New Roman" w:eastAsia="宋体" w:cs="Times New Roman"/>
                <w:szCs w:val="21"/>
                <w:lang w:val="en-US" w:eastAsia="zh-CN"/>
              </w:rPr>
              <w:t>。</w:t>
            </w:r>
          </w:p>
        </w:tc>
        <w:tc>
          <w:tcPr>
            <w:tcW w:w="464" w:type="pct"/>
            <w:tcBorders>
              <w:top w:val="single" w:color="000000" w:sz="4" w:space="0"/>
              <w:left w:val="single" w:color="auto" w:sz="4" w:space="0"/>
              <w:bottom w:val="single" w:color="000000" w:sz="4" w:space="0"/>
              <w:right w:val="single" w:color="000000" w:sz="4" w:space="0"/>
            </w:tcBorders>
            <w:vAlign w:val="center"/>
          </w:tcPr>
          <w:p w14:paraId="6FDBBFF1">
            <w:pPr>
              <w:autoSpaceDE w:val="0"/>
              <w:autoSpaceDN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已落实</w:t>
            </w:r>
          </w:p>
        </w:tc>
      </w:tr>
      <w:tr w14:paraId="59EDD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70" w:type="pct"/>
            <w:tcBorders>
              <w:top w:val="single" w:color="000000" w:sz="4" w:space="0"/>
              <w:left w:val="single" w:color="000000" w:sz="4" w:space="0"/>
              <w:bottom w:val="single" w:color="000000" w:sz="4" w:space="0"/>
              <w:right w:val="single" w:color="000000" w:sz="4" w:space="0"/>
            </w:tcBorders>
            <w:vAlign w:val="center"/>
          </w:tcPr>
          <w:p w14:paraId="24DA482E">
            <w:pPr>
              <w:autoSpaceDE w:val="0"/>
              <w:autoSpaceDN w:val="0"/>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由环卫定期清运;废活性炭、精馏残液、废过滤膜、过滤残渣委托有资质单位处理;废弃包装材料回用于生产。危废收集、储存、处置须满足《危险废物贮存污染控制标准》(GB18597-2001)及其修改单要求，一般固度收集、储存、处置须满足《一般工业固体度物贮存和填埋污染控制标准》要求。</w:t>
            </w:r>
          </w:p>
        </w:tc>
        <w:tc>
          <w:tcPr>
            <w:tcW w:w="2465" w:type="pct"/>
            <w:tcBorders>
              <w:top w:val="single" w:color="000000" w:sz="4" w:space="0"/>
              <w:left w:val="single" w:color="000000" w:sz="4" w:space="0"/>
              <w:bottom w:val="single" w:color="000000" w:sz="4" w:space="0"/>
              <w:right w:val="single" w:color="auto" w:sz="4" w:space="0"/>
            </w:tcBorders>
            <w:vAlign w:val="center"/>
          </w:tcPr>
          <w:p w14:paraId="3A9DF594">
            <w:pPr>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生活垃圾由环卫定期清运</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废活性炭、精馏残液、废过滤膜、过滤残渣委托有资质单位处理;废弃包装材料回用于生产。危废收集、储存、处置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满足《危险废物贮存污染控制标准》(GB18597-20</w:t>
            </w:r>
            <w:r>
              <w:rPr>
                <w:rFonts w:hint="eastAsia" w:ascii="Times New Roman" w:hAnsi="Times New Roman" w:eastAsia="宋体" w:cs="Times New Roman"/>
                <w:szCs w:val="21"/>
                <w:lang w:val="en-US" w:eastAsia="zh-CN"/>
              </w:rPr>
              <w:t>23</w:t>
            </w:r>
            <w:r>
              <w:rPr>
                <w:rFonts w:hint="default" w:ascii="Times New Roman" w:hAnsi="Times New Roman" w:eastAsia="宋体" w:cs="Times New Roman"/>
                <w:szCs w:val="21"/>
                <w:lang w:val="en-US" w:eastAsia="zh-CN"/>
              </w:rPr>
              <w:t>)要求，一般固度收集、储存、处置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满足《一般工业固体度物贮存和填埋污染控制标准》要求。</w:t>
            </w:r>
          </w:p>
        </w:tc>
        <w:tc>
          <w:tcPr>
            <w:tcW w:w="464" w:type="pct"/>
            <w:tcBorders>
              <w:top w:val="single" w:color="000000" w:sz="4" w:space="0"/>
              <w:left w:val="single" w:color="auto" w:sz="4" w:space="0"/>
              <w:bottom w:val="single" w:color="000000" w:sz="4" w:space="0"/>
              <w:right w:val="single" w:color="000000" w:sz="4" w:space="0"/>
            </w:tcBorders>
            <w:vAlign w:val="center"/>
          </w:tcPr>
          <w:p w14:paraId="76BCAAEA">
            <w:pPr>
              <w:autoSpaceDE w:val="0"/>
              <w:autoSpaceDN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已落实</w:t>
            </w:r>
          </w:p>
        </w:tc>
      </w:tr>
    </w:tbl>
    <w:p w14:paraId="7A6C76A9">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366B909E">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23C99ECD">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5619B03B">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56A65F81">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029078F9">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7B6B8A1D">
      <w:pPr>
        <w:pStyle w:val="50"/>
        <w:spacing w:line="360" w:lineRule="auto"/>
        <w:ind w:left="0" w:leftChars="0" w:firstLine="0" w:firstLineChars="0"/>
        <w:jc w:val="both"/>
        <w:outlineLvl w:val="0"/>
        <w:rPr>
          <w:rFonts w:ascii="Times New Roman" w:hAnsi="Times New Roman" w:eastAsia="宋体" w:cs="Times New Roman"/>
          <w:b/>
          <w:sz w:val="32"/>
          <w:szCs w:val="32"/>
        </w:rPr>
      </w:pPr>
    </w:p>
    <w:p w14:paraId="08396A19">
      <w:pPr>
        <w:pStyle w:val="50"/>
        <w:spacing w:line="360" w:lineRule="auto"/>
        <w:ind w:left="0" w:leftChars="0" w:firstLine="0" w:firstLineChars="0"/>
        <w:jc w:val="both"/>
        <w:outlineLvl w:val="0"/>
        <w:rPr>
          <w:rFonts w:ascii="Times New Roman" w:hAnsi="Times New Roman" w:eastAsia="宋体" w:cs="Times New Roman"/>
          <w:b/>
          <w:sz w:val="32"/>
          <w:szCs w:val="32"/>
        </w:rPr>
      </w:pPr>
      <w:r>
        <w:rPr>
          <w:rFonts w:ascii="Times New Roman" w:hAnsi="Times New Roman" w:eastAsia="宋体" w:cs="Times New Roman"/>
          <w:b/>
          <w:sz w:val="32"/>
          <w:szCs w:val="32"/>
        </w:rPr>
        <w:t>5、建设项目环评报告表的主要结论与建议及审批部门审批决定</w:t>
      </w:r>
      <w:bookmarkEnd w:id="34"/>
    </w:p>
    <w:p w14:paraId="786E3E39">
      <w:pPr>
        <w:pStyle w:val="50"/>
        <w:spacing w:line="360" w:lineRule="auto"/>
        <w:ind w:firstLine="0" w:firstLineChars="0"/>
        <w:jc w:val="left"/>
        <w:outlineLvl w:val="1"/>
        <w:rPr>
          <w:rFonts w:ascii="Times New Roman" w:hAnsi="Times New Roman" w:eastAsia="宋体" w:cs="Times New Roman"/>
          <w:b/>
          <w:sz w:val="28"/>
          <w:szCs w:val="32"/>
        </w:rPr>
      </w:pPr>
      <w:bookmarkStart w:id="35" w:name="_Toc23894"/>
      <w:r>
        <w:rPr>
          <w:rFonts w:ascii="Times New Roman" w:hAnsi="Times New Roman" w:eastAsia="宋体" w:cs="Times New Roman"/>
          <w:b/>
          <w:sz w:val="28"/>
          <w:szCs w:val="32"/>
        </w:rPr>
        <w:t>5.1建设项目环评报告书表的主要结论与建议</w:t>
      </w:r>
      <w:bookmarkEnd w:id="35"/>
    </w:p>
    <w:p w14:paraId="51D5DB4D">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一、结论</w:t>
      </w:r>
    </w:p>
    <w:p w14:paraId="32EA9784">
      <w:pPr>
        <w:spacing w:line="360" w:lineRule="auto"/>
        <w:ind w:firstLine="482"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1.1项目概况</w:t>
      </w:r>
    </w:p>
    <w:p w14:paraId="5DBAD3A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山东瑞盟生物科技有限公司</w:t>
      </w:r>
      <w:r>
        <w:rPr>
          <w:rFonts w:hint="default" w:ascii="Times New Roman" w:hAnsi="Times New Roman" w:eastAsia="宋体" w:cs="Times New Roman"/>
          <w:color w:val="auto"/>
          <w:kern w:val="0"/>
          <w:sz w:val="24"/>
          <w:szCs w:val="22"/>
          <w:lang w:val="en-US" w:eastAsia="zh-CN" w:bidi="ar-SA"/>
        </w:rPr>
        <w:t>位于山东省菏泽市成武县大田集镇港航产业园内，</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山东瑞盟生物科技有限公司</w:t>
      </w:r>
      <w:r>
        <w:rPr>
          <w:rFonts w:hint="default" w:ascii="Times New Roman" w:hAnsi="Times New Roman" w:eastAsia="宋体" w:cs="Times New Roman"/>
          <w:bCs/>
          <w:color w:val="000000"/>
          <w:sz w:val="24"/>
        </w:rPr>
        <w:t>拟投资</w:t>
      </w:r>
      <w:r>
        <w:rPr>
          <w:rFonts w:hint="default" w:ascii="Times New Roman" w:hAnsi="Times New Roman" w:eastAsia="宋体" w:cs="Times New Roman"/>
          <w:color w:val="000000"/>
          <w:sz w:val="24"/>
          <w:szCs w:val="24"/>
          <w:lang w:val="en-US" w:eastAsia="zh-CN" w:bidi="ar"/>
        </w:rPr>
        <w:t>22000</w:t>
      </w:r>
      <w:r>
        <w:rPr>
          <w:rFonts w:hint="default" w:ascii="Times New Roman" w:hAnsi="Times New Roman" w:eastAsia="宋体" w:cs="Times New Roman"/>
          <w:color w:val="000000"/>
          <w:sz w:val="24"/>
          <w:szCs w:val="24"/>
          <w:lang w:bidi="ar"/>
        </w:rPr>
        <w:t>万元</w:t>
      </w:r>
      <w:r>
        <w:rPr>
          <w:rFonts w:hint="default" w:ascii="Times New Roman" w:hAnsi="Times New Roman" w:eastAsia="宋体" w:cs="Times New Roman"/>
          <w:bCs/>
          <w:color w:val="000000"/>
          <w:sz w:val="24"/>
        </w:rPr>
        <w:t>建设</w:t>
      </w:r>
      <w:r>
        <w:rPr>
          <w:rFonts w:hint="default" w:ascii="Times New Roman" w:hAnsi="Times New Roman" w:eastAsia="宋体" w:cs="Times New Roman"/>
          <w:sz w:val="24"/>
          <w:szCs w:val="24"/>
        </w:rPr>
        <w:t>年产20000吨食品添加剂项目</w:t>
      </w:r>
      <w:r>
        <w:rPr>
          <w:rFonts w:hint="default" w:ascii="Times New Roman" w:hAnsi="Times New Roman" w:eastAsia="宋体" w:cs="Times New Roman"/>
          <w:color w:val="000000"/>
          <w:kern w:val="0"/>
          <w:sz w:val="24"/>
          <w:lang w:bidi="ar"/>
        </w:rPr>
        <w:t>，</w:t>
      </w:r>
      <w:r>
        <w:rPr>
          <w:rFonts w:hint="default" w:ascii="Times New Roman" w:hAnsi="Times New Roman" w:eastAsia="宋体" w:cs="Times New Roman"/>
          <w:color w:val="auto"/>
          <w:kern w:val="0"/>
          <w:sz w:val="24"/>
          <w:szCs w:val="22"/>
          <w:lang w:val="en-US" w:eastAsia="zh-CN" w:bidi="ar-SA"/>
        </w:rPr>
        <w:t>环保投资1100万元</w:t>
      </w:r>
      <w:r>
        <w:rPr>
          <w:rFonts w:hint="default" w:ascii="Times New Roman" w:hAnsi="Times New Roman" w:eastAsia="宋体" w:cs="Times New Roman"/>
          <w:color w:val="000000"/>
          <w:sz w:val="24"/>
          <w:szCs w:val="24"/>
          <w:lang w:bidi="ar"/>
        </w:rPr>
        <w:t>。</w:t>
      </w:r>
      <w:r>
        <w:rPr>
          <w:rFonts w:hint="default" w:ascii="Times New Roman" w:hAnsi="Times New Roman" w:eastAsia="宋体" w:cs="Times New Roman"/>
          <w:sz w:val="24"/>
          <w:szCs w:val="24"/>
        </w:rPr>
        <w:t xml:space="preserve">本项目分为两期，此环评仅评价一期，拟产10000t食品添加剂，预留10000t </w:t>
      </w:r>
    </w:p>
    <w:p w14:paraId="1EF3A281">
      <w:pPr>
        <w:spacing w:line="360" w:lineRule="auto"/>
        <w:rPr>
          <w:rFonts w:hint="default" w:ascii="Times New Roman" w:hAnsi="Times New Roman" w:eastAsia="宋体" w:cs="Times New Roman"/>
          <w:color w:val="FF0000"/>
          <w:sz w:val="24"/>
          <w:szCs w:val="24"/>
          <w:lang w:eastAsia="zh-CN" w:bidi="ar"/>
        </w:rPr>
      </w:pPr>
      <w:r>
        <w:rPr>
          <w:rFonts w:hint="default" w:ascii="Times New Roman" w:hAnsi="Times New Roman" w:eastAsia="宋体" w:cs="Times New Roman"/>
          <w:sz w:val="24"/>
          <w:szCs w:val="24"/>
        </w:rPr>
        <w:t>生产，单次运行时间：36h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生产200次左右</w:t>
      </w:r>
      <w:r>
        <w:rPr>
          <w:rFonts w:hint="default" w:ascii="Times New Roman" w:hAnsi="Times New Roman" w:eastAsia="宋体" w:cs="Times New Roman"/>
          <w:sz w:val="24"/>
          <w:szCs w:val="24"/>
          <w:lang w:eastAsia="zh-CN"/>
        </w:rPr>
        <w:t>。</w:t>
      </w:r>
    </w:p>
    <w:p w14:paraId="419655E2">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1.2项目相符性分析</w:t>
      </w:r>
    </w:p>
    <w:p w14:paraId="03E0A8DA">
      <w:pPr>
        <w:pStyle w:val="30"/>
        <w:spacing w:before="0" w:beforeAutospacing="0" w:after="0" w:afterAutospacing="0"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进行食品添加剂的加工，根据国家发展和改革委《产业结构调整指导目录》（2019年本）（修订版），本项目不属于限制类或淘汰类，属于国家允许类项目。项目已取得山东省建设项目备案证明，项目代码</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2209-371723-89-01-381224，所用设备不含限制与淘汰设备，项目建设符合国家当前产业政策。</w:t>
      </w:r>
    </w:p>
    <w:p w14:paraId="4DA13AF0">
      <w:pPr>
        <w:pStyle w:val="30"/>
        <w:spacing w:before="0" w:beforeAutospacing="0" w:after="0" w:afterAutospacing="0" w:line="360" w:lineRule="auto"/>
        <w:ind w:firstLine="482" w:firstLineChars="200"/>
        <w:jc w:val="both"/>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en-US" w:eastAsia="zh-CN"/>
        </w:rPr>
        <w:t>3环境空气质量现状</w:t>
      </w:r>
    </w:p>
    <w:p w14:paraId="056F948A">
      <w:pPr>
        <w:spacing w:line="360" w:lineRule="auto"/>
        <w:ind w:firstLine="480" w:firstLineChars="200"/>
        <w:rPr>
          <w:rFonts w:hint="default" w:ascii="Times New Roman" w:hAnsi="Times New Roman" w:cs="Times New Roman"/>
          <w:sz w:val="24"/>
        </w:rPr>
      </w:pPr>
      <w:r>
        <w:rPr>
          <w:rFonts w:hint="default" w:ascii="Times New Roman" w:hAnsi="Times New Roman" w:eastAsia="宋体" w:cs="Times New Roman"/>
          <w:sz w:val="24"/>
          <w:szCs w:val="24"/>
        </w:rPr>
        <w:t>拟建项目位于菏泽市成武县大田集镇，根据《环境空气质量标准》 (GB3095-2012)的环境空气质量功能分区，项目所在区域属于二类功能区，应执行《环境空气质量标准》(GB3095-2012)表1的二级标准。根据2021年菏泽市环境质量状况公报，环境空气质量数据统计数据详见表</w:t>
      </w:r>
      <w:r>
        <w:rPr>
          <w:rFonts w:hint="default" w:ascii="Times New Roman" w:hAnsi="Times New Roman" w:cs="Times New Roman"/>
          <w:sz w:val="24"/>
          <w:lang w:val="en-US" w:eastAsia="zh-CN"/>
        </w:rPr>
        <w:t>5-1</w:t>
      </w:r>
      <w:r>
        <w:rPr>
          <w:rFonts w:hint="default" w:ascii="Times New Roman" w:hAnsi="Times New Roman" w:cs="Times New Roman"/>
          <w:sz w:val="24"/>
        </w:rPr>
        <w:t>。</w:t>
      </w:r>
    </w:p>
    <w:p w14:paraId="13147CB6">
      <w:pPr>
        <w:jc w:val="center"/>
        <w:rPr>
          <w:rFonts w:hint="default" w:ascii="Times New Roman" w:hAnsi="Times New Roman" w:cs="Times New Roman"/>
          <w:b/>
          <w:szCs w:val="21"/>
        </w:rPr>
      </w:pPr>
      <w:r>
        <w:rPr>
          <w:rFonts w:hint="default" w:ascii="Times New Roman" w:hAnsi="Times New Roman" w:cs="Times New Roman"/>
          <w:b/>
          <w:szCs w:val="21"/>
        </w:rPr>
        <w:t>表</w:t>
      </w:r>
      <w:r>
        <w:rPr>
          <w:rFonts w:hint="default" w:ascii="Times New Roman" w:hAnsi="Times New Roman" w:cs="Times New Roman"/>
          <w:b/>
          <w:szCs w:val="21"/>
          <w:lang w:val="en-US" w:eastAsia="zh-CN"/>
        </w:rPr>
        <w:t>5-1</w:t>
      </w:r>
      <w:r>
        <w:rPr>
          <w:rFonts w:hint="default" w:ascii="Times New Roman" w:hAnsi="Times New Roman" w:cs="Times New Roman"/>
          <w:b/>
          <w:szCs w:val="21"/>
        </w:rPr>
        <w:t>环境空气质量</w:t>
      </w:r>
      <w:r>
        <w:rPr>
          <w:rFonts w:hint="default" w:ascii="Times New Roman" w:hAnsi="Times New Roman" w:cs="Times New Roman"/>
          <w:b/>
          <w:szCs w:val="21"/>
          <w:lang w:val="en-US" w:eastAsia="zh-CN"/>
        </w:rPr>
        <w:t>浓度现状</w:t>
      </w:r>
      <w:r>
        <w:rPr>
          <w:rFonts w:hint="default" w:ascii="Times New Roman" w:hAnsi="Times New Roman" w:cs="Times New Roman"/>
          <w:b/>
          <w:szCs w:val="21"/>
        </w:rPr>
        <w:t>情况</w:t>
      </w:r>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034"/>
        <w:gridCol w:w="3323"/>
        <w:gridCol w:w="1406"/>
        <w:gridCol w:w="1900"/>
        <w:gridCol w:w="1416"/>
      </w:tblGrid>
      <w:tr w14:paraId="47E6B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569" w:type="pct"/>
            <w:noWrap w:val="0"/>
            <w:vAlign w:val="center"/>
          </w:tcPr>
          <w:p w14:paraId="40398B36">
            <w:pPr>
              <w:autoSpaceDE w:val="0"/>
              <w:autoSpaceDN w:val="0"/>
              <w:adjustRightInd w:val="0"/>
              <w:jc w:val="center"/>
              <w:textAlignment w:val="bottom"/>
              <w:rPr>
                <w:rFonts w:hint="default" w:ascii="Times New Roman" w:hAnsi="Times New Roman" w:cs="Times New Roman"/>
                <w:b/>
                <w:bCs/>
                <w:kern w:val="0"/>
                <w:szCs w:val="21"/>
              </w:rPr>
            </w:pPr>
            <w:r>
              <w:rPr>
                <w:rFonts w:hint="default" w:ascii="Times New Roman" w:hAnsi="Times New Roman" w:cs="Times New Roman"/>
                <w:b/>
                <w:bCs/>
                <w:kern w:val="0"/>
                <w:szCs w:val="21"/>
              </w:rPr>
              <w:t>污染物</w:t>
            </w:r>
          </w:p>
        </w:tc>
        <w:tc>
          <w:tcPr>
            <w:tcW w:w="1829" w:type="pct"/>
            <w:noWrap w:val="0"/>
            <w:vAlign w:val="center"/>
          </w:tcPr>
          <w:p w14:paraId="6AABF234">
            <w:pPr>
              <w:autoSpaceDE w:val="0"/>
              <w:autoSpaceDN w:val="0"/>
              <w:adjustRightInd w:val="0"/>
              <w:jc w:val="center"/>
              <w:textAlignment w:val="bottom"/>
              <w:rPr>
                <w:rFonts w:hint="default" w:ascii="Times New Roman" w:hAnsi="Times New Roman" w:cs="Times New Roman"/>
                <w:b/>
                <w:bCs/>
                <w:kern w:val="0"/>
                <w:szCs w:val="21"/>
              </w:rPr>
            </w:pPr>
            <w:r>
              <w:rPr>
                <w:rFonts w:hint="default" w:ascii="Times New Roman" w:hAnsi="Times New Roman" w:cs="Times New Roman"/>
                <w:b/>
                <w:bCs/>
                <w:kern w:val="0"/>
                <w:szCs w:val="21"/>
              </w:rPr>
              <w:t>年评价指标</w:t>
            </w:r>
          </w:p>
        </w:tc>
        <w:tc>
          <w:tcPr>
            <w:tcW w:w="774" w:type="pct"/>
            <w:noWrap w:val="0"/>
            <w:vAlign w:val="center"/>
          </w:tcPr>
          <w:p w14:paraId="18E15C53">
            <w:pPr>
              <w:autoSpaceDE w:val="0"/>
              <w:autoSpaceDN w:val="0"/>
              <w:adjustRightInd w:val="0"/>
              <w:jc w:val="center"/>
              <w:textAlignment w:val="bottom"/>
              <w:rPr>
                <w:rFonts w:hint="default" w:ascii="Times New Roman" w:hAnsi="Times New Roman" w:cs="Times New Roman"/>
                <w:b/>
                <w:bCs/>
                <w:kern w:val="0"/>
                <w:szCs w:val="21"/>
              </w:rPr>
            </w:pPr>
            <w:r>
              <w:rPr>
                <w:rFonts w:hint="default" w:ascii="Times New Roman" w:hAnsi="Times New Roman" w:cs="Times New Roman"/>
                <w:b/>
                <w:bCs/>
                <w:kern w:val="0"/>
                <w:szCs w:val="21"/>
              </w:rPr>
              <w:t>现状浓度</w:t>
            </w:r>
          </w:p>
        </w:tc>
        <w:tc>
          <w:tcPr>
            <w:tcW w:w="1046" w:type="pct"/>
            <w:noWrap w:val="0"/>
            <w:vAlign w:val="center"/>
          </w:tcPr>
          <w:p w14:paraId="6010955A">
            <w:pPr>
              <w:autoSpaceDE w:val="0"/>
              <w:autoSpaceDN w:val="0"/>
              <w:adjustRightInd w:val="0"/>
              <w:jc w:val="center"/>
              <w:textAlignment w:val="bottom"/>
              <w:rPr>
                <w:rFonts w:hint="default" w:ascii="Times New Roman" w:hAnsi="Times New Roman" w:cs="Times New Roman"/>
                <w:b/>
                <w:bCs/>
                <w:kern w:val="0"/>
                <w:szCs w:val="21"/>
              </w:rPr>
            </w:pPr>
            <w:r>
              <w:rPr>
                <w:rFonts w:hint="default" w:ascii="Times New Roman" w:hAnsi="Times New Roman" w:cs="Times New Roman"/>
                <w:b/>
                <w:bCs/>
                <w:kern w:val="0"/>
                <w:szCs w:val="21"/>
              </w:rPr>
              <w:t>标准值</w:t>
            </w:r>
          </w:p>
        </w:tc>
        <w:tc>
          <w:tcPr>
            <w:tcW w:w="779" w:type="pct"/>
            <w:noWrap w:val="0"/>
            <w:vAlign w:val="center"/>
          </w:tcPr>
          <w:p w14:paraId="6CA099C1">
            <w:pPr>
              <w:autoSpaceDE w:val="0"/>
              <w:autoSpaceDN w:val="0"/>
              <w:adjustRightInd w:val="0"/>
              <w:jc w:val="center"/>
              <w:textAlignment w:val="bottom"/>
              <w:rPr>
                <w:rFonts w:hint="default" w:ascii="Times New Roman" w:hAnsi="Times New Roman" w:cs="Times New Roman"/>
                <w:b/>
                <w:bCs/>
                <w:kern w:val="0"/>
                <w:szCs w:val="21"/>
              </w:rPr>
            </w:pPr>
            <w:r>
              <w:rPr>
                <w:rFonts w:hint="default" w:ascii="Times New Roman" w:hAnsi="Times New Roman" w:cs="Times New Roman"/>
                <w:b/>
                <w:bCs/>
                <w:kern w:val="0"/>
                <w:szCs w:val="21"/>
              </w:rPr>
              <w:t>达标情况</w:t>
            </w:r>
          </w:p>
        </w:tc>
      </w:tr>
      <w:tr w14:paraId="4EE8B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347950F3">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829" w:type="pct"/>
            <w:noWrap w:val="0"/>
            <w:vAlign w:val="center"/>
          </w:tcPr>
          <w:p w14:paraId="4B570029">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14:paraId="4D600E9F">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szCs w:val="21"/>
                <w:lang w:val="en-US" w:eastAsia="zh-CN"/>
              </w:rPr>
              <w:t>93</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14:paraId="1A546030">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70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14:paraId="7B096FC7">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超</w:t>
            </w:r>
            <w:r>
              <w:rPr>
                <w:rFonts w:hint="default" w:ascii="Times New Roman" w:hAnsi="Times New Roman" w:cs="Times New Roman"/>
                <w:kern w:val="0"/>
                <w:szCs w:val="21"/>
              </w:rPr>
              <w:t>标</w:t>
            </w:r>
          </w:p>
        </w:tc>
      </w:tr>
      <w:tr w14:paraId="7DC65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3A78DB70">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829" w:type="pct"/>
            <w:noWrap w:val="0"/>
            <w:vAlign w:val="center"/>
          </w:tcPr>
          <w:p w14:paraId="1C6E55F7">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14:paraId="4D9FE009">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szCs w:val="21"/>
                <w:lang w:val="en-US" w:eastAsia="zh-CN"/>
              </w:rPr>
              <w:t>48</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14:paraId="5E8695C6">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35</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14:paraId="00BFF70F">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超</w:t>
            </w:r>
            <w:r>
              <w:rPr>
                <w:rFonts w:hint="default" w:ascii="Times New Roman" w:hAnsi="Times New Roman" w:cs="Times New Roman"/>
                <w:kern w:val="0"/>
                <w:szCs w:val="21"/>
              </w:rPr>
              <w:t>标</w:t>
            </w:r>
          </w:p>
        </w:tc>
      </w:tr>
      <w:tr w14:paraId="405D8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0BB99B9A">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829" w:type="pct"/>
            <w:noWrap w:val="0"/>
            <w:vAlign w:val="center"/>
          </w:tcPr>
          <w:p w14:paraId="6A0C22CE">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14:paraId="0FC43F53">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szCs w:val="21"/>
                <w:lang w:val="en-US" w:eastAsia="zh-CN"/>
              </w:rPr>
              <w:t>10</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14:paraId="62D69BBA">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60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14:paraId="045DF080">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14:paraId="68CA1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25048A8D">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829" w:type="pct"/>
            <w:noWrap w:val="0"/>
            <w:vAlign w:val="center"/>
          </w:tcPr>
          <w:p w14:paraId="568EED0E">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14:paraId="01F4659E">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szCs w:val="21"/>
                <w:lang w:val="en-US" w:eastAsia="zh-CN"/>
              </w:rPr>
              <w:t>27</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14:paraId="20CEAD1A">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40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14:paraId="2CE9A805">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14:paraId="6974F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08538190">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cs="Times New Roman"/>
                <w:kern w:val="0"/>
                <w:sz w:val="21"/>
                <w:szCs w:val="21"/>
              </w:rPr>
              <w:t>CO</w:t>
            </w:r>
          </w:p>
        </w:tc>
        <w:tc>
          <w:tcPr>
            <w:tcW w:w="1829" w:type="pct"/>
            <w:noWrap w:val="0"/>
            <w:vAlign w:val="center"/>
          </w:tcPr>
          <w:p w14:paraId="1A969387">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24小时平均第95百分位数</w:t>
            </w:r>
          </w:p>
        </w:tc>
        <w:tc>
          <w:tcPr>
            <w:tcW w:w="774" w:type="pct"/>
            <w:noWrap w:val="0"/>
            <w:vAlign w:val="center"/>
          </w:tcPr>
          <w:p w14:paraId="7353ECFE">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1100u</w:t>
            </w:r>
            <w:r>
              <w:rPr>
                <w:rFonts w:hint="default" w:ascii="Times New Roman" w:hAnsi="Times New Roman" w:cs="Times New Roman"/>
                <w:kern w:val="0"/>
                <w:szCs w:val="21"/>
              </w:rPr>
              <w:t>g/m</w:t>
            </w:r>
            <w:r>
              <w:rPr>
                <w:rFonts w:hint="default" w:ascii="Times New Roman" w:hAnsi="Times New Roman" w:cs="Times New Roman"/>
                <w:kern w:val="0"/>
                <w:szCs w:val="21"/>
                <w:vertAlign w:val="superscript"/>
              </w:rPr>
              <w:t>3</w:t>
            </w:r>
          </w:p>
        </w:tc>
        <w:tc>
          <w:tcPr>
            <w:tcW w:w="1046" w:type="pct"/>
            <w:noWrap w:val="0"/>
            <w:vAlign w:val="center"/>
          </w:tcPr>
          <w:p w14:paraId="35673C84">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4</w:t>
            </w:r>
            <w:r>
              <w:rPr>
                <w:rFonts w:hint="default" w:ascii="Times New Roman" w:hAnsi="Times New Roman" w:cs="Times New Roman"/>
                <w:kern w:val="0"/>
                <w:szCs w:val="21"/>
                <w:lang w:val="en-US" w:eastAsia="zh-CN"/>
              </w:rPr>
              <w:t>000u</w:t>
            </w:r>
            <w:r>
              <w:rPr>
                <w:rFonts w:hint="default" w:ascii="Times New Roman" w:hAnsi="Times New Roman" w:cs="Times New Roman"/>
                <w:kern w:val="0"/>
                <w:szCs w:val="21"/>
              </w:rPr>
              <w:t>g/m</w:t>
            </w:r>
            <w:r>
              <w:rPr>
                <w:rFonts w:hint="default" w:ascii="Times New Roman" w:hAnsi="Times New Roman" w:cs="Times New Roman"/>
                <w:kern w:val="0"/>
                <w:szCs w:val="21"/>
                <w:vertAlign w:val="superscript"/>
              </w:rPr>
              <w:t>3</w:t>
            </w:r>
          </w:p>
        </w:tc>
        <w:tc>
          <w:tcPr>
            <w:tcW w:w="779" w:type="pct"/>
            <w:noWrap w:val="0"/>
            <w:vAlign w:val="center"/>
          </w:tcPr>
          <w:p w14:paraId="4C1CF925">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14:paraId="419C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14:paraId="1EC18815">
            <w:pPr>
              <w:autoSpaceDE w:val="0"/>
              <w:autoSpaceDN w:val="0"/>
              <w:adjustRightInd w:val="0"/>
              <w:jc w:val="center"/>
              <w:textAlignment w:val="bottom"/>
              <w:rPr>
                <w:rFonts w:hint="default" w:ascii="Times New Roman" w:hAnsi="Times New Roman" w:cs="Times New Roman"/>
                <w:kern w:val="0"/>
                <w:sz w:val="21"/>
                <w:szCs w:val="21"/>
              </w:rPr>
            </w:pPr>
            <w:r>
              <w:rPr>
                <w:rFonts w:hint="default" w:ascii="Times New Roman" w:hAnsi="Times New Roman" w:cs="Times New Roman"/>
                <w:kern w:val="0"/>
                <w:sz w:val="21"/>
                <w:szCs w:val="21"/>
              </w:rPr>
              <w:t>O</w:t>
            </w:r>
            <w:r>
              <w:rPr>
                <w:rFonts w:hint="default" w:ascii="Times New Roman" w:hAnsi="Times New Roman" w:cs="Times New Roman"/>
                <w:kern w:val="0"/>
                <w:sz w:val="21"/>
                <w:szCs w:val="21"/>
                <w:vertAlign w:val="subscript"/>
              </w:rPr>
              <w:t>3</w:t>
            </w:r>
          </w:p>
        </w:tc>
        <w:tc>
          <w:tcPr>
            <w:tcW w:w="1829" w:type="pct"/>
            <w:noWrap w:val="0"/>
            <w:vAlign w:val="center"/>
          </w:tcPr>
          <w:p w14:paraId="69CAC73B">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日最大8小时平均第90百分位数</w:t>
            </w:r>
          </w:p>
        </w:tc>
        <w:tc>
          <w:tcPr>
            <w:tcW w:w="774" w:type="pct"/>
            <w:noWrap w:val="0"/>
            <w:vAlign w:val="center"/>
          </w:tcPr>
          <w:p w14:paraId="6D12F108">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68</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14:paraId="3D3F9900">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160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14:paraId="1870E0E1">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lang w:val="en-US" w:eastAsia="zh-CN"/>
              </w:rPr>
              <w:t>超</w:t>
            </w:r>
            <w:r>
              <w:rPr>
                <w:rFonts w:hint="default" w:ascii="Times New Roman" w:hAnsi="Times New Roman" w:cs="Times New Roman"/>
                <w:kern w:val="0"/>
                <w:szCs w:val="21"/>
              </w:rPr>
              <w:t>标</w:t>
            </w:r>
          </w:p>
        </w:tc>
      </w:tr>
    </w:tbl>
    <w:p w14:paraId="25D229CE">
      <w:pPr>
        <w:pStyle w:val="13"/>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rPr>
        <w:t>由上表可知，其中PM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不能够满足《环境空气质量标准》 （GB3095-2012）二级标准要求。根据《环境影响评价技术导则大气环境》 (HJ2.2-2018)，菏泽市属于不达标区。</w:t>
      </w:r>
    </w:p>
    <w:p w14:paraId="204B4D5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菏泽市人民政府《关于印发菏泽市国民经济和社会发展第十四个五年规划和2035年远景目标纲要的通知》，严守环境质量底线，突出分区分类管理，加强精准治污减排，有效增加优良生态环境产品供给，坚决打赢污染防治攻坚战。强化大气污染联防联控，抓好重点行业、重点企业、重点时段污染防治，科学实施氮氧化物和挥发性有机物协同治理，推动空气质量持续改善。</w:t>
      </w:r>
    </w:p>
    <w:p w14:paraId="7074064C">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1.4环境影响分析</w:t>
      </w:r>
    </w:p>
    <w:p w14:paraId="40E1130A">
      <w:pPr>
        <w:pStyle w:val="32"/>
        <w:keepNext w:val="0"/>
        <w:keepLines w:val="0"/>
        <w:pageBreakBefore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施工期影响分析</w:t>
      </w:r>
    </w:p>
    <w:p w14:paraId="7A3F81D9">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施工期对环境的影响主要来自于土建施工，对环境造成的影响主要包括大气环境影响、水环境影响、声环境影响及固体废物环境影响。</w:t>
      </w:r>
    </w:p>
    <w:p w14:paraId="0C68A479">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val="en-US" w:eastAsia="zh-CN"/>
        </w:rPr>
        <w:t>1.2</w:t>
      </w:r>
      <w:r>
        <w:rPr>
          <w:rFonts w:hint="default" w:ascii="Times New Roman" w:hAnsi="Times New Roman" w:eastAsia="宋体" w:cs="Times New Roman"/>
          <w:b/>
          <w:bCs/>
          <w:color w:val="auto"/>
          <w:sz w:val="24"/>
          <w:lang w:val="en-US" w:eastAsia="zh-CN"/>
        </w:rPr>
        <w:t>运营期对环境的影响</w:t>
      </w:r>
    </w:p>
    <w:p w14:paraId="2D652713">
      <w:pPr>
        <w:pStyle w:val="28"/>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cs="Times New Roman"/>
          <w:lang w:val="en-US" w:eastAsia="zh-CN"/>
        </w:rPr>
      </w:pPr>
      <w:r>
        <w:rPr>
          <w:rFonts w:hint="eastAsia" w:ascii="Times New Roman" w:eastAsia="宋体" w:cs="Times New Roman"/>
          <w:b/>
          <w:bCs/>
          <w:color w:val="auto"/>
          <w:sz w:val="24"/>
          <w:lang w:val="en-US" w:eastAsia="zh-CN"/>
        </w:rPr>
        <w:t>5.4.1.2.1</w:t>
      </w:r>
      <w:r>
        <w:rPr>
          <w:rFonts w:hint="default" w:ascii="Times New Roman" w:hAnsi="Times New Roman" w:eastAsia="宋体" w:cs="Times New Roman"/>
          <w:b/>
          <w:bCs/>
          <w:color w:val="auto"/>
          <w:sz w:val="24"/>
          <w:lang w:val="en-US" w:eastAsia="zh-CN"/>
        </w:rPr>
        <w:t>环境空气影响</w:t>
      </w:r>
    </w:p>
    <w:p w14:paraId="0F7ADA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本项目产生的废气主要为：吹塑包装车间产生的有机废气经负压装置收集后引至1套二级活性炭吸附装置进行处理，然后通过1根15m高排气简DA001排放，</w:t>
      </w:r>
      <w:r>
        <w:rPr>
          <w:rFonts w:hint="eastAsia" w:ascii="Times New Roman" w:hAnsi="Times New Roman" w:eastAsia="宋体" w:cs="Times New Roman"/>
          <w:color w:val="auto"/>
          <w:kern w:val="2"/>
          <w:sz w:val="24"/>
          <w:szCs w:val="24"/>
          <w:lang w:val="en-US" w:eastAsia="zh-CN" w:bidi="ar-SA"/>
        </w:rPr>
        <w:t>根据监测数据</w:t>
      </w:r>
      <w:r>
        <w:rPr>
          <w:rFonts w:hint="default" w:ascii="Times New Roman" w:hAnsi="Times New Roman" w:eastAsia="宋体" w:cs="Times New Roman"/>
          <w:color w:val="auto"/>
          <w:kern w:val="2"/>
          <w:sz w:val="24"/>
          <w:szCs w:val="24"/>
          <w:lang w:val="en-US" w:eastAsia="zh-CN" w:bidi="ar-SA"/>
        </w:rPr>
        <w:t>有组织VOCs排放需满足《挥发性有机物排放控制标准第6部分:有机化工行业》(DB37/2801.6-2018)表1时段排放限值要求，吹塑包装车</w:t>
      </w:r>
      <w:r>
        <w:rPr>
          <w:rFonts w:hint="eastAsia" w:ascii="Times New Roman" w:hAnsi="Times New Roman" w:eastAsia="宋体" w:cs="Times New Roman"/>
          <w:color w:val="auto"/>
          <w:kern w:val="2"/>
          <w:sz w:val="24"/>
          <w:szCs w:val="24"/>
          <w:lang w:val="en-US" w:eastAsia="zh-CN" w:bidi="ar-SA"/>
        </w:rPr>
        <w:t>间</w:t>
      </w:r>
      <w:r>
        <w:rPr>
          <w:rFonts w:hint="default" w:ascii="Times New Roman" w:hAnsi="Times New Roman" w:eastAsia="宋体" w:cs="Times New Roman"/>
          <w:color w:val="auto"/>
          <w:kern w:val="2"/>
          <w:sz w:val="24"/>
          <w:szCs w:val="24"/>
          <w:lang w:val="en-US" w:eastAsia="zh-CN" w:bidi="ar-SA"/>
        </w:rPr>
        <w:t>厂界无组织VOCs浓度满足《挥发性有机物排放控制标准第6部分:有机化工行业》(DB37/2801.6-2018)表3厂界无组织监控点挥发性有机物浓度限值要求</w:t>
      </w:r>
      <w:r>
        <w:rPr>
          <w:rFonts w:hint="eastAsia" w:ascii="Times New Roman" w:hAnsi="Times New Roman" w:eastAsia="宋体" w:cs="Times New Roman"/>
          <w:color w:val="auto"/>
          <w:kern w:val="2"/>
          <w:sz w:val="24"/>
          <w:szCs w:val="24"/>
          <w:lang w:val="en-US" w:eastAsia="zh-CN" w:bidi="ar-SA"/>
        </w:rPr>
        <w:t>；醋</w:t>
      </w:r>
      <w:r>
        <w:rPr>
          <w:rFonts w:hint="default" w:ascii="Times New Roman" w:hAnsi="Times New Roman" w:eastAsia="宋体" w:cs="Times New Roman"/>
          <w:color w:val="auto"/>
          <w:kern w:val="2"/>
          <w:sz w:val="24"/>
          <w:szCs w:val="24"/>
          <w:lang w:val="en-US" w:eastAsia="zh-CN" w:bidi="ar-SA"/>
        </w:rPr>
        <w:t>酸生产车问的过滤、精馏、分装以及存储的废气废气经管道收集后通过碱喷淋+活性炭吸附装置进行处理然后由1根1m高排气简DA002排放，有组织VOCs排放需满足《挥发性有机物排放标准第7部分:其他行业》(DB37/2801.7-2019)表1时段排放展值要求，</w:t>
      </w:r>
      <w:r>
        <w:rPr>
          <w:rFonts w:hint="eastAsia" w:ascii="Times New Roman" w:hAnsi="Times New Roman" w:eastAsia="宋体" w:cs="Times New Roman"/>
          <w:color w:val="auto"/>
          <w:kern w:val="2"/>
          <w:sz w:val="24"/>
          <w:szCs w:val="24"/>
          <w:lang w:val="en-US" w:eastAsia="zh-CN" w:bidi="ar-SA"/>
        </w:rPr>
        <w:t>醋</w:t>
      </w:r>
      <w:r>
        <w:rPr>
          <w:rFonts w:hint="default" w:ascii="Times New Roman" w:hAnsi="Times New Roman" w:eastAsia="宋体" w:cs="Times New Roman"/>
          <w:color w:val="auto"/>
          <w:kern w:val="2"/>
          <w:sz w:val="24"/>
          <w:szCs w:val="24"/>
          <w:lang w:val="en-US" w:eastAsia="zh-CN" w:bidi="ar-SA"/>
        </w:rPr>
        <w:t>酸车间无组织VOCs浓度需满足《挥发性有机物排放标准第了部分:其他行业》(DB37/2801.7-2019)表2厂界无组织监控值要求</w:t>
      </w:r>
      <w:r>
        <w:rPr>
          <w:rFonts w:hint="eastAsia" w:ascii="Times New Roman" w:hAnsi="Times New Roman" w:eastAsia="宋体" w:cs="Times New Roman"/>
          <w:color w:val="auto"/>
          <w:kern w:val="2"/>
          <w:sz w:val="24"/>
          <w:szCs w:val="24"/>
          <w:lang w:val="en-US" w:eastAsia="zh-CN" w:bidi="ar-SA"/>
        </w:rPr>
        <w:t>；</w:t>
      </w:r>
    </w:p>
    <w:p w14:paraId="1D518CB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水环境影响</w:t>
      </w:r>
    </w:p>
    <w:p w14:paraId="793BF1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生产废水通过污水处理一体化系统处理，生活污水经化粪池沉淀后与处理后的生 产废水一起排入市政污水管网进入港航产业园污水处理厂处理，排入园区人工湿地进一步处理后，最终排入万福河。</w:t>
      </w:r>
    </w:p>
    <w:p w14:paraId="472029BC">
      <w:pPr>
        <w:pStyle w:val="28"/>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b/>
          <w:bCs/>
          <w:color w:val="auto"/>
          <w:sz w:val="24"/>
          <w:lang w:val="en-US" w:eastAsia="zh-CN"/>
        </w:rPr>
      </w:pPr>
      <w:r>
        <w:rPr>
          <w:rFonts w:hint="eastAsia" w:ascii="Times New Roman" w:eastAsia="宋体" w:cs="Times New Roman"/>
          <w:b/>
          <w:bCs/>
          <w:color w:val="auto"/>
          <w:sz w:val="24"/>
          <w:lang w:val="en-US" w:eastAsia="zh-CN"/>
        </w:rPr>
        <w:t>5.4.1.2.3</w:t>
      </w:r>
      <w:r>
        <w:rPr>
          <w:rFonts w:hint="default" w:ascii="Times New Roman" w:hAnsi="Times New Roman" w:eastAsia="宋体" w:cs="Times New Roman"/>
          <w:b/>
          <w:bCs/>
          <w:color w:val="auto"/>
          <w:sz w:val="24"/>
          <w:lang w:val="en-US" w:eastAsia="zh-CN"/>
        </w:rPr>
        <w:t>声环境影响</w:t>
      </w:r>
    </w:p>
    <w:p w14:paraId="3E1261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lang w:eastAsia="zh-CN"/>
        </w:rPr>
      </w:pPr>
      <w:r>
        <w:rPr>
          <w:rFonts w:hint="default" w:ascii="Times New Roman" w:hAnsi="Times New Roman" w:eastAsia="宋体" w:cs="Times New Roman"/>
          <w:color w:val="auto"/>
          <w:kern w:val="2"/>
          <w:sz w:val="24"/>
          <w:szCs w:val="24"/>
          <w:lang w:val="en-US" w:eastAsia="zh-CN" w:bidi="ar-SA"/>
        </w:rPr>
        <w:t>新建项目建成后主要噪声源为生产设备以及风机等设备运转过程中产生的噪声，噪声值为70~85dB（A）之间。为进一步降低设备噪声对周围声环境的影响，项目采取的降噪措施如下：</w:t>
      </w:r>
      <w:r>
        <w:rPr>
          <w:rFonts w:hint="eastAsia" w:ascii="Times New Roman" w:hAnsi="Times New Roman" w:eastAsia="宋体" w:cs="Times New Roman"/>
          <w:color w:val="auto"/>
          <w:kern w:val="2"/>
          <w:sz w:val="24"/>
          <w:szCs w:val="24"/>
          <w:lang w:val="en-US" w:eastAsia="zh-CN" w:bidi="ar-SA"/>
        </w:rPr>
        <w:t>基础减振、隔声、距离衰减，</w:t>
      </w:r>
      <w:r>
        <w:rPr>
          <w:rFonts w:hint="default" w:ascii="Times New Roman" w:hAnsi="Times New Roman" w:eastAsia="宋体" w:cs="Times New Roman"/>
          <w:color w:val="auto"/>
          <w:kern w:val="2"/>
          <w:sz w:val="24"/>
          <w:szCs w:val="24"/>
          <w:lang w:val="en-US" w:eastAsia="zh-CN" w:bidi="ar-SA"/>
        </w:rPr>
        <w:t>采取措施后，各厂界噪声贡献值均满足《工业企业厂界环境噪声排放标准》（GB12348–2008）</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类标准要求（昼间≤60dB（A）夜间≤50dB（A））。</w:t>
      </w:r>
    </w:p>
    <w:p w14:paraId="4AD670EB">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color w:val="auto"/>
          <w:sz w:val="24"/>
          <w:lang w:val="en-US" w:eastAsia="zh-CN"/>
        </w:rPr>
        <w:t>5.4.1.2.4</w:t>
      </w:r>
      <w:r>
        <w:rPr>
          <w:rFonts w:hint="default" w:ascii="Times New Roman" w:hAnsi="Times New Roman" w:eastAsia="宋体" w:cs="Times New Roman"/>
          <w:b/>
          <w:bCs/>
          <w:color w:val="auto"/>
          <w:sz w:val="24"/>
          <w:lang w:val="en-US" w:eastAsia="zh-CN"/>
        </w:rPr>
        <w:t>固废影响</w:t>
      </w:r>
    </w:p>
    <w:p w14:paraId="47DFD267">
      <w:pPr>
        <w:keepNext w:val="0"/>
        <w:keepLines w:val="0"/>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一般</w:t>
      </w:r>
      <w:r>
        <w:rPr>
          <w:rFonts w:hint="default" w:ascii="Times New Roman" w:hAnsi="Times New Roman" w:eastAsia="宋体" w:cs="Times New Roman"/>
          <w:b/>
          <w:bCs/>
          <w:color w:val="auto"/>
          <w:sz w:val="24"/>
          <w:szCs w:val="24"/>
        </w:rPr>
        <w:t>废物</w:t>
      </w:r>
    </w:p>
    <w:p w14:paraId="0BD9E518">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①废弃包装材料:塑料包装生产车间产生的废弃包装材料，废弃包装收集后回用生产。</w:t>
      </w:r>
    </w:p>
    <w:p w14:paraId="336961F1">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②生活垃圾:拟建项目新增劳动定员40人，生活垃圾按1.0kg/人·d来计算，则生活垃圾产生量为12ta，生活垃圾集中收集后交由当地环卫部门处理处置，或是单独运往指定场所处理。</w:t>
      </w:r>
    </w:p>
    <w:p w14:paraId="4BD9B8B3">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污水处理系统产生污泥:拟建项目污水处理一体化系统包括“A0工艺-污泥处理(压滤)+反渗透工艺”，压滤产生少量污泥，主要含有SS、微生物以及总有机碳。根据《国家危险废物名录》(2021年版)不属于危险废物。收集的污泥作为一般固废处理，处理后由环卫部门定期清运。产生污泥量为20t。</w:t>
      </w:r>
    </w:p>
    <w:p w14:paraId="1C2154E6">
      <w:pPr>
        <w:keepNext w:val="0"/>
        <w:keepLines w:val="0"/>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（2）危险废物</w:t>
      </w:r>
    </w:p>
    <w:p w14:paraId="0BE12034">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①废活性炭(HW49，900-039-49)</w:t>
      </w:r>
    </w:p>
    <w:p w14:paraId="48DB46B6">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本项目产生的危险废物主要是活性炭吸附处理装置产生的废活性炭(HW49)。以装填量 4t、更换周期 90 天计算，项目产生废活性炭量为13.2t/a。</w:t>
      </w:r>
    </w:p>
    <w:p w14:paraId="5173B8CF">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②精馏残液(HW11，900-013-11)</w:t>
      </w:r>
    </w:p>
    <w:p w14:paraId="187282C7">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拟建工程产生量以每年产生 10000t食品级冰醋酸计算，精馏残液的产量为17.03ta，主要成分为甲酸、甲醇等有机溶剂。根据《国家危险废物名录》(2021年版)对其进行辨识，该残液属于《国家危险废物名录》(2021年版)的危险废物豁免管理清单中的 HW11，危废代码为 900+013-11。精馏残液与反渗透过滤膜一起委托有资质的单位处理，不外排。</w:t>
      </w:r>
    </w:p>
    <w:p w14:paraId="166F4E86">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③废过滤膜及废过滤材料(HW49，900-047-49)</w:t>
      </w:r>
    </w:p>
    <w:p w14:paraId="3471F522">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过滤系统的过滤介质，T型过滤与增压过滤为不锈钢过滤网，可以循环使用,精细过滤的过滤介质为刚玉砂、碳化硅、堇青石为原料的多孔陶瓷，反渗透过滤使用醋酸纤维膜，过滤介质更换周期约2年，醋酸生产产生的废反渗透膜与其他废过滤材料产生量约 3ta，其次污水处理一体化系统对吸收液进行处理，产生废过滤膜为3ta，项目废过滤介质年产生量为 6va。收集后与精馏残液一起委托有资质单位外运处理。</w:t>
      </w:r>
    </w:p>
    <w:p w14:paraId="14EE7071">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④过滤残渣(HW49，900-047-49)</w:t>
      </w:r>
    </w:p>
    <w:p w14:paraId="45CC53FF">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过滤产生的残渣有两部分组成，一部分为醋酸生产过程中过滤产生，主要含有原料醋酸中的少量固体杂质、重金属，年产生量为9.6t;一部分为对吸收液进行废水处理时反渗透过滤产生，主要成分为醋酸钠盐，年产生量为0.5t。残渣的成分复杂，作为危废(HW49，900-047-49)，与废过滤膜等危险废物一起委托有资质单位外运处理。</w:t>
      </w:r>
    </w:p>
    <w:p w14:paraId="58F74C7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各类危险废物从生产区由工人及时收集并使用专用容器贮放于危废暂存间，不会产生泄漏等情况，运送过程没有敏感目标，因此不会对环境产生影响。危险废物厂外转运由有资质的危废处置单位负责，危险废物由专用容器收集，专车运输。运输过程按照国家有关规定制定危险废物管理计划，并向所在县级以上地方人民政府环境保护行政主管部门申报危险废物的种类、产生量、流向、贮存、处置等有关资料，运输过程不会对环境造成影响。根据项目的危险废物类别及项目周边有资质的危险废物处置单位的分布情况和处置能力，本环评要求企业委托有危险经营许可证的单位进行安全处置。采取以上措施后，危险废物处理符合《危险废物贮存污染控制标准》（GB18597-2023）中有关要求，对环境影响较小。</w:t>
      </w:r>
    </w:p>
    <w:p w14:paraId="5007BB5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sz w:val="24"/>
          <w:szCs w:val="24"/>
          <w:lang w:val="en-US" w:eastAsia="zh-CN"/>
        </w:rPr>
        <w:t>综上，项目产生的固废均得到妥善安置处理，对周围环境影响较小。</w:t>
      </w:r>
    </w:p>
    <w:p w14:paraId="1F2F6D1B">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5.1.5</w:t>
      </w:r>
      <w:r>
        <w:rPr>
          <w:rFonts w:hint="default" w:ascii="Times New Roman" w:hAnsi="Times New Roman" w:eastAsia="宋体" w:cs="Times New Roman"/>
          <w:b/>
          <w:bCs/>
          <w:color w:val="auto"/>
          <w:sz w:val="24"/>
          <w:highlight w:val="none"/>
          <w:lang w:val="en-US" w:eastAsia="zh-CN"/>
        </w:rPr>
        <w:t>总量指标</w:t>
      </w:r>
    </w:p>
    <w:p w14:paraId="62683CB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根据《关于印发山东省建设项目主要大气污染物排放总量替代指标核算及管理办法的通知》（鲁环发</w:t>
      </w:r>
      <w:r>
        <w:rPr>
          <w:rFonts w:hint="default" w:ascii="Times New Roman" w:hAnsi="Times New Roman" w:eastAsia="宋体" w:cs="Times New Roman"/>
          <w:sz w:val="24"/>
          <w:szCs w:val="24"/>
          <w:lang w:val="en-US" w:eastAsia="zh-CN"/>
        </w:rPr>
        <w:t xml:space="preserve">[2019]132 </w:t>
      </w:r>
      <w:r>
        <w:rPr>
          <w:rFonts w:hint="eastAsia" w:ascii="Times New Roman" w:hAnsi="Times New Roman" w:eastAsia="宋体" w:cs="Times New Roman"/>
          <w:sz w:val="24"/>
          <w:szCs w:val="24"/>
          <w:lang w:val="en-US" w:eastAsia="zh-CN"/>
        </w:rPr>
        <w:t xml:space="preserve">号），本项目需要申请 </w:t>
      </w:r>
      <w:r>
        <w:rPr>
          <w:rFonts w:hint="default" w:ascii="Times New Roman" w:hAnsi="Times New Roman" w:eastAsia="宋体" w:cs="Times New Roman"/>
          <w:sz w:val="24"/>
          <w:szCs w:val="24"/>
          <w:lang w:val="en-US" w:eastAsia="zh-CN"/>
        </w:rPr>
        <w:t>VOCs</w:t>
      </w:r>
      <w:r>
        <w:rPr>
          <w:rFonts w:hint="eastAsia" w:ascii="Times New Roman" w:hAnsi="Times New Roman" w:eastAsia="宋体" w:cs="Times New Roman"/>
          <w:sz w:val="24"/>
          <w:szCs w:val="24"/>
          <w:lang w:val="en-US" w:eastAsia="zh-CN"/>
        </w:rPr>
        <w:t>总量替代，拟建项目已申请总量指标为</w:t>
      </w:r>
      <w:r>
        <w:rPr>
          <w:rFonts w:hint="default" w:ascii="Times New Roman" w:hAnsi="Times New Roman" w:eastAsia="宋体" w:cs="Times New Roman"/>
          <w:sz w:val="24"/>
          <w:szCs w:val="24"/>
          <w:lang w:val="en-US" w:eastAsia="zh-CN"/>
        </w:rPr>
        <w:t>0.3255t/a</w:t>
      </w:r>
      <w:r>
        <w:rPr>
          <w:rFonts w:hint="eastAsia" w:ascii="Times New Roman" w:hAnsi="Times New Roman" w:eastAsia="宋体" w:cs="Times New Roman"/>
          <w:sz w:val="24"/>
          <w:szCs w:val="24"/>
          <w:lang w:val="en-US" w:eastAsia="zh-CN"/>
        </w:rPr>
        <w:t>。</w:t>
      </w:r>
    </w:p>
    <w:p w14:paraId="1156921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所述：本项目符合国家及地方环保政策要求，符合菏泽市“三线一单”相关要求;项目选用成熟的生产工艺，采取的环境保护措施技术可靠、经济可行，符合达标排放、总量控制的基本原则项目选址从环境保护角度分析是合理的。在切实落实各项环境保护措施的前提下，以及完全按照《中华人民共和国食品安全法》执行相关规定的前提下，项目建设从环境保护角度分析是可行的。</w:t>
      </w:r>
    </w:p>
    <w:p w14:paraId="4799AE19">
      <w:pPr>
        <w:pStyle w:val="50"/>
        <w:spacing w:line="360" w:lineRule="auto"/>
        <w:ind w:firstLine="0" w:firstLineChars="0"/>
        <w:jc w:val="left"/>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5.2审批部门审批决定</w:t>
      </w:r>
    </w:p>
    <w:p w14:paraId="7251A762">
      <w:pPr>
        <w:pStyle w:val="50"/>
        <w:spacing w:line="360" w:lineRule="auto"/>
        <w:jc w:val="left"/>
        <w:outlineLvl w:val="0"/>
        <w:rPr>
          <w:rFonts w:hint="default" w:ascii="Times New Roman" w:hAnsi="Times New Roman" w:cs="Times New Roman" w:eastAsiaTheme="minorEastAsia"/>
          <w:color w:val="auto"/>
          <w:kern w:val="2"/>
          <w:sz w:val="24"/>
          <w:szCs w:val="24"/>
          <w:highlight w:val="none"/>
          <w:lang w:val="en-US" w:eastAsia="zh-CN" w:bidi="ar-SA"/>
        </w:rPr>
      </w:pPr>
      <w:bookmarkStart w:id="36" w:name="_Toc26090"/>
      <w:r>
        <w:rPr>
          <w:rFonts w:hint="default" w:ascii="Times New Roman" w:hAnsi="Times New Roman" w:cs="Times New Roman" w:eastAsiaTheme="minorEastAsia"/>
          <w:color w:val="auto"/>
          <w:kern w:val="2"/>
          <w:sz w:val="24"/>
          <w:szCs w:val="24"/>
          <w:highlight w:val="none"/>
          <w:lang w:val="en-US" w:eastAsia="zh-CN" w:bidi="ar-SA"/>
        </w:rPr>
        <w:t>一、项目基本情况、</w:t>
      </w:r>
    </w:p>
    <w:p w14:paraId="6A2D0D51">
      <w:pPr>
        <w:pStyle w:val="50"/>
        <w:spacing w:line="360" w:lineRule="auto"/>
        <w:ind w:left="29" w:leftChars="14" w:firstLine="0" w:firstLineChars="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该项目为新建项目，建于菏泽市成武县港航产业园内，工程占地38000平方米，总投资22000万元，环保投资1100万元。项目分为两期建设，本环评仅评价一期，一期建成后可形成年产10000t食品添加剂的生产能力。经审查，项目(一期10000t食品添加剂)在全面落实报告表提出的各项污染防治和环境风险防范措施，并确保各类污染物稳定达标排且符合总量控制要求的前提下，从生态环境保护角度同意建设。</w:t>
      </w:r>
    </w:p>
    <w:p w14:paraId="7822529A">
      <w:pPr>
        <w:pStyle w:val="50"/>
        <w:numPr>
          <w:ilvl w:val="0"/>
          <w:numId w:val="0"/>
        </w:numPr>
        <w:spacing w:line="360" w:lineRule="auto"/>
        <w:ind w:left="410" w:leftChars="0"/>
        <w:jc w:val="left"/>
        <w:outlineLvl w:val="0"/>
        <w:rPr>
          <w:rFonts w:hint="default" w:ascii="Times New Roman" w:hAnsi="Times New Roman" w:cs="Times New Roman" w:eastAsiaTheme="minorEastAsia"/>
          <w:b/>
          <w:sz w:val="24"/>
          <w:szCs w:val="24"/>
        </w:rPr>
      </w:pPr>
      <w:r>
        <w:rPr>
          <w:rFonts w:hint="default" w:ascii="Times New Roman" w:hAnsi="Times New Roman" w:cs="Times New Roman" w:eastAsiaTheme="minorEastAsia"/>
          <w:color w:val="auto"/>
          <w:kern w:val="2"/>
          <w:sz w:val="24"/>
          <w:szCs w:val="24"/>
          <w:highlight w:val="none"/>
          <w:lang w:val="en-US" w:eastAsia="zh-CN" w:bidi="ar-SA"/>
        </w:rPr>
        <w:t>二、项目在建设和运营过程中要严格落实环境影响报告表及其环境保护措施监督</w:t>
      </w:r>
    </w:p>
    <w:p w14:paraId="16640CEE">
      <w:pPr>
        <w:pStyle w:val="50"/>
        <w:numPr>
          <w:ilvl w:val="0"/>
          <w:numId w:val="0"/>
        </w:numPr>
        <w:spacing w:line="360" w:lineRule="auto"/>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检查清单要求和本批复要求。</w:t>
      </w:r>
    </w:p>
    <w:p w14:paraId="344F2164">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1、做好施工期问的环境保护工作，合理安排施工期和作息时间，做到文明施工。严格控制施工期间的扬尘污染和水土流失;严格执行《建筑施工厂界环境噪声排放标准》(GB12523-2011)标准要求;对施工期产生的各类固废要分类、及时、妥善处理。</w:t>
      </w:r>
    </w:p>
    <w:p w14:paraId="057AC2C4">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2、按照雨污分流原则设计和建设厂区排水系统。碱喷淋产生的生产废水经污水处理一体化系统处理后和经化类池处理后的生活污水达到港航产业园污水处理厂接纳标准后进入港航产业园污水处理厂处理。</w:t>
      </w:r>
    </w:p>
    <w:p w14:paraId="37D383DB">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3、项目生产用热采用园区内蒸汽供热。吹塑包装车间产生的有机废气经负压抽没装置收集后引至1套二级活性炭吸附装置进行处理，然后通过1根15m高排气简DA001排放，有组织VOCs排放需满足《挥发性有机物排放控制标准第6部分:有机化工行业》(DB37/2801.6-2018)表1时段排放限值要求，吹塑包装车问厂界无组织VOCs浓度需满足《挥发性有机物排放控制标准第6部分:有机化工行业》(DB37/2801.6-2018)表3厂界无组织监控点挥发性有机物浓度限值要求;酷酸生产车问的过滤、精馏、分装以及存储的废气废气经管道收集后通过碱喷淋+活性炭吸附装置进行处理、然后由1根1m高排气简DA002排放，有组织VOCs排放需满足《挥发性有机物排放标准第7部分:其他行业》(DB37/2801.7-2019)表1时段排放展值要求，酷酸车间无组织VOCs浓度需满足《挥发性有机物排放标准第了部分:其他行业》(DB37/2801.7-2019)表2厂界无组织监控值要求;</w:t>
      </w:r>
    </w:p>
    <w:p w14:paraId="482E7BB9">
      <w:pPr>
        <w:pStyle w:val="50"/>
        <w:numPr>
          <w:ilvl w:val="0"/>
          <w:numId w:val="0"/>
        </w:numPr>
        <w:spacing w:line="360" w:lineRule="auto"/>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厂区内无组织VOCs排放浓度需满足《挥发性有机物无组织排放控制标准</w:t>
      </w:r>
      <w:r>
        <w:rPr>
          <w:rFonts w:hint="default" w:ascii="Times New Roman" w:hAnsi="Times New Roman" w:cs="Times New Roman"/>
          <w:color w:val="auto"/>
          <w:kern w:val="2"/>
          <w:sz w:val="24"/>
          <w:szCs w:val="24"/>
          <w:highlight w:val="none"/>
          <w:lang w:val="en-US" w:eastAsia="zh-CN" w:bidi="ar-SA"/>
        </w:rPr>
        <w:t>》</w:t>
      </w:r>
    </w:p>
    <w:p w14:paraId="4A911287">
      <w:pPr>
        <w:pStyle w:val="50"/>
        <w:numPr>
          <w:ilvl w:val="0"/>
          <w:numId w:val="0"/>
        </w:numPr>
        <w:spacing w:line="360" w:lineRule="auto"/>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(GB37822-2019)附录A中表A.1中特别排放限值要求</w:t>
      </w:r>
    </w:p>
    <w:p w14:paraId="4119A529">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4、生活垃圾由环卫定期清运;废活性炭、精馏残液、废过滤膜、过滤残渣委托有资质单位处理;废弃包装材料回用于生产。危废收集、储存、处置须满足《危险废物贮存污染控制标准》(GB18597-2001)及其修改单要求，一般固度收集、储存、处置须满足《一般工业固体度物贮存和填埋污染控制标准》要求。</w:t>
      </w:r>
    </w:p>
    <w:p w14:paraId="5A3D5C02">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5、选用低噪声设备，采取有效的隔声、吸声、消声、减振等措施，并加强厂区绿化，确保噪声达到《工业企业厂界环境噪声排放标准》(GB12348-2008)中3类区标准</w:t>
      </w:r>
    </w:p>
    <w:p w14:paraId="7EADACEA">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6、项目VOCs总量指标分别控制在0.3255t/a内。</w:t>
      </w:r>
    </w:p>
    <w:p w14:paraId="31EA6D6F">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7、加强营运期的环境管理，建设一套科学的环境风险防范措施和应急预案。设置事故废水导排系统，建设容积不小于360</w:t>
      </w:r>
      <w:r>
        <w:rPr>
          <w:rFonts w:hint="default" w:ascii="Times New Roman" w:hAnsi="Times New Roman" w:cs="Times New Roman"/>
          <w:color w:val="auto"/>
          <w:kern w:val="2"/>
          <w:sz w:val="24"/>
          <w:szCs w:val="24"/>
          <w:highlight w:val="none"/>
          <w:lang w:val="en-US" w:eastAsia="zh-CN" w:bidi="ar-SA"/>
        </w:rPr>
        <w:t>m³</w:t>
      </w:r>
      <w:r>
        <w:rPr>
          <w:rFonts w:hint="default" w:ascii="Times New Roman" w:hAnsi="Times New Roman" w:cs="Times New Roman" w:eastAsiaTheme="minorEastAsia"/>
          <w:color w:val="auto"/>
          <w:kern w:val="2"/>
          <w:sz w:val="24"/>
          <w:szCs w:val="24"/>
          <w:highlight w:val="none"/>
          <w:lang w:val="en-US" w:eastAsia="zh-CN" w:bidi="ar-SA"/>
        </w:rPr>
        <w:t>的事故水池，在厂区雨水排放口设置切断措施确保无事故废水外排，制定非正常工况下的环境保护措施，必要时应立即停产，确保无环境污染事故发生。</w:t>
      </w:r>
    </w:p>
    <w:p w14:paraId="601C3BE3">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三、请菏泽市生态环境局成武县分局港航中队做好监督管理工作，确保报告表及本批复提出的污染防治措施落实到位。</w:t>
      </w:r>
    </w:p>
    <w:p w14:paraId="5099A0C6">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四、项目建设需严格执行污染防治设施与主体工程同时设计、同时施工、同时投入使用的环保“三同时”制度。项目应当依法申请排污许可证，未取得排污许可证的，不得排放污染物。项目竣工后，你单位应当按照国务院环境保护行政主管部门规定的标准和程序，对配套建设的环境保护设施进行验收，验收合格后方可正式投入使用，验收后应按程序备案，</w:t>
      </w:r>
    </w:p>
    <w:p w14:paraId="327E6A6B">
      <w:pPr>
        <w:pStyle w:val="50"/>
        <w:numPr>
          <w:ilvl w:val="0"/>
          <w:numId w:val="0"/>
        </w:numPr>
        <w:spacing w:line="360" w:lineRule="auto"/>
        <w:ind w:firstLine="480" w:firstLineChars="200"/>
        <w:jc w:val="left"/>
        <w:outlineLvl w:val="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五、建设项目的性质、规模、地点、采用的生产工艺或者防治污染、防止生态破坏的措施发生重大变动的，应当重新报批建设项目环境影响评价文件。自批准之日起满5年，建设项目方开工建设的，其环境影响评价文件应当报我局重新审核。</w:t>
      </w:r>
    </w:p>
    <w:p w14:paraId="745EA9ED">
      <w:pPr>
        <w:pStyle w:val="50"/>
        <w:numPr>
          <w:ilvl w:val="0"/>
          <w:numId w:val="0"/>
        </w:numPr>
        <w:spacing w:line="360" w:lineRule="auto"/>
        <w:ind w:firstLine="480" w:firstLineChars="200"/>
        <w:jc w:val="left"/>
        <w:outlineLvl w:val="0"/>
        <w:rPr>
          <w:rFonts w:hint="default" w:ascii="Times New Roman" w:hAnsi="Times New Roman" w:eastAsia="宋体" w:cs="Times New Roman"/>
          <w:b/>
          <w:sz w:val="32"/>
          <w:szCs w:val="32"/>
        </w:rPr>
      </w:pPr>
      <w:r>
        <w:rPr>
          <w:rFonts w:hint="default" w:ascii="Times New Roman" w:hAnsi="Times New Roman" w:cs="Times New Roman" w:eastAsiaTheme="minorEastAsia"/>
          <w:color w:val="auto"/>
          <w:kern w:val="2"/>
          <w:sz w:val="24"/>
          <w:szCs w:val="24"/>
          <w:highlight w:val="none"/>
          <w:lang w:val="en-US" w:eastAsia="zh-CN" w:bidi="ar-SA"/>
        </w:rPr>
        <w:t>六、项目须依法取得其他许可手续的，请依法取得其他许可手续。</w:t>
      </w:r>
    </w:p>
    <w:p w14:paraId="62F42F4F">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3F130AA1">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10603FF">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0364ACF6">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30A8CF7D">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30D710B5">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0A7B6D5A">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A6BACFF">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1BCDB60">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33F4439">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55ADE8F">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04C190F6">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FED8DAC">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AC93AE1">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C43AAAE">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91D1484">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EA340DA">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40C3EF61">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98EE15E">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6、验收执行标准</w:t>
      </w:r>
      <w:bookmarkEnd w:id="36"/>
    </w:p>
    <w:p w14:paraId="271D02EE">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受</w:t>
      </w:r>
      <w:r>
        <w:rPr>
          <w:rFonts w:hint="eastAsia" w:cs="Times New Roman"/>
          <w:sz w:val="24"/>
          <w:szCs w:val="24"/>
          <w:lang w:eastAsia="zh-CN"/>
        </w:rPr>
        <w:t>山东瑞盟生物科技有限公司</w:t>
      </w:r>
      <w:r>
        <w:rPr>
          <w:rFonts w:hint="default" w:ascii="Times New Roman" w:hAnsi="Times New Roman" w:cs="Times New Roman"/>
          <w:color w:val="000000"/>
          <w:sz w:val="24"/>
          <w:szCs w:val="28"/>
        </w:rPr>
        <w:t>委托，根据《关于</w:t>
      </w:r>
      <w:r>
        <w:rPr>
          <w:rFonts w:hint="eastAsia" w:cs="Times New Roman"/>
          <w:color w:val="000000"/>
          <w:sz w:val="24"/>
          <w:szCs w:val="28"/>
          <w:lang w:val="en-US" w:eastAsia="zh-CN"/>
        </w:rPr>
        <w:t>山东瑞盟生物科技有限公司年产20000吨食品添加剂项目</w:t>
      </w:r>
      <w:r>
        <w:rPr>
          <w:rFonts w:hint="default" w:ascii="Times New Roman" w:hAnsi="Times New Roman" w:cs="Times New Roman"/>
          <w:color w:val="000000"/>
          <w:sz w:val="24"/>
          <w:szCs w:val="28"/>
        </w:rPr>
        <w:t>的批复》（</w:t>
      </w:r>
      <w:r>
        <w:rPr>
          <w:rFonts w:hint="default" w:ascii="Times New Roman" w:hAnsi="Times New Roman" w:cs="Times New Roman"/>
          <w:color w:val="000000"/>
          <w:sz w:val="24"/>
          <w:szCs w:val="28"/>
          <w:lang w:val="en-US" w:eastAsia="zh-CN"/>
        </w:rPr>
        <w:t>菏</w:t>
      </w:r>
      <w:r>
        <w:rPr>
          <w:rFonts w:hint="eastAsia" w:cs="Times New Roman"/>
          <w:color w:val="000000"/>
          <w:sz w:val="24"/>
          <w:szCs w:val="28"/>
          <w:lang w:val="en-US" w:eastAsia="zh-CN"/>
        </w:rPr>
        <w:t>成</w:t>
      </w:r>
      <w:r>
        <w:rPr>
          <w:rFonts w:hint="default" w:ascii="Times New Roman" w:hAnsi="Times New Roman" w:cs="Times New Roman"/>
          <w:color w:val="000000"/>
          <w:sz w:val="24"/>
          <w:szCs w:val="28"/>
          <w:lang w:val="en-US" w:eastAsia="zh-CN"/>
        </w:rPr>
        <w:t>环审【20</w:t>
      </w:r>
      <w:r>
        <w:rPr>
          <w:rFonts w:hint="eastAsia" w:cs="Times New Roman"/>
          <w:color w:val="000000"/>
          <w:sz w:val="24"/>
          <w:szCs w:val="28"/>
          <w:lang w:val="en-US" w:eastAsia="zh-CN"/>
        </w:rPr>
        <w:t>22</w:t>
      </w:r>
      <w:r>
        <w:rPr>
          <w:rFonts w:hint="default" w:ascii="Times New Roman" w:hAnsi="Times New Roman" w:cs="Times New Roman"/>
          <w:color w:val="000000"/>
          <w:sz w:val="24"/>
          <w:szCs w:val="28"/>
          <w:lang w:val="en-US" w:eastAsia="zh-CN"/>
        </w:rPr>
        <w:t>】</w:t>
      </w:r>
      <w:r>
        <w:rPr>
          <w:rFonts w:hint="eastAsia" w:cs="Times New Roman"/>
          <w:color w:val="000000"/>
          <w:sz w:val="24"/>
          <w:szCs w:val="28"/>
          <w:lang w:val="en-US" w:eastAsia="zh-CN"/>
        </w:rPr>
        <w:t>57</w:t>
      </w:r>
      <w:r>
        <w:rPr>
          <w:rFonts w:hint="default" w:ascii="Times New Roman" w:hAnsi="Times New Roman" w:cs="Times New Roman"/>
          <w:color w:val="000000"/>
          <w:sz w:val="24"/>
          <w:szCs w:val="28"/>
          <w:lang w:val="en-US" w:eastAsia="zh-CN"/>
        </w:rPr>
        <w:t>号</w:t>
      </w:r>
      <w:r>
        <w:rPr>
          <w:rFonts w:hint="default" w:ascii="Times New Roman" w:hAnsi="Times New Roman" w:cs="Times New Roman"/>
          <w:color w:val="000000"/>
          <w:sz w:val="24"/>
          <w:szCs w:val="28"/>
        </w:rPr>
        <w:t>）的要求</w:t>
      </w:r>
      <w:r>
        <w:rPr>
          <w:rFonts w:hint="default" w:ascii="Times New Roman" w:hAnsi="Times New Roman" w:cs="Times New Roman"/>
          <w:color w:val="auto"/>
          <w:sz w:val="24"/>
          <w:szCs w:val="28"/>
        </w:rPr>
        <w:t>，</w:t>
      </w:r>
      <w:r>
        <w:rPr>
          <w:rFonts w:hint="eastAsia" w:cs="Times New Roman"/>
          <w:color w:val="auto"/>
          <w:sz w:val="24"/>
          <w:szCs w:val="28"/>
          <w:lang w:val="en-US" w:eastAsia="zh-CN"/>
        </w:rPr>
        <w:t>山东天智环境监测有限公司</w:t>
      </w:r>
      <w:r>
        <w:rPr>
          <w:rFonts w:hint="default" w:ascii="Times New Roman" w:hAnsi="Times New Roman" w:cs="Times New Roman"/>
          <w:color w:val="auto"/>
          <w:sz w:val="24"/>
          <w:szCs w:val="28"/>
        </w:rPr>
        <w:t>分别对该项目废气和厂界噪声进行现场监测，项目处于</w:t>
      </w:r>
      <w:r>
        <w:rPr>
          <w:rFonts w:hint="default" w:ascii="Times New Roman" w:hAnsi="Times New Roman" w:cs="Times New Roman"/>
          <w:color w:val="000000"/>
          <w:sz w:val="24"/>
          <w:szCs w:val="28"/>
        </w:rPr>
        <w:t>正常运行状态，环保设施运行正常。具体见表6-1。</w:t>
      </w:r>
    </w:p>
    <w:p w14:paraId="197467F5">
      <w:pPr>
        <w:pStyle w:val="3"/>
        <w:spacing w:after="0" w:line="240" w:lineRule="auto"/>
        <w:ind w:left="0"/>
        <w:jc w:val="center"/>
        <w:rPr>
          <w:b/>
          <w:sz w:val="22"/>
          <w:szCs w:val="24"/>
        </w:rPr>
      </w:pPr>
      <w:r>
        <w:rPr>
          <w:b/>
          <w:sz w:val="22"/>
          <w:szCs w:val="24"/>
        </w:rPr>
        <w:t>表6-1  监测项目执行标准及限值</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468"/>
        <w:gridCol w:w="1219"/>
        <w:gridCol w:w="4097"/>
        <w:gridCol w:w="1803"/>
      </w:tblGrid>
      <w:tr w14:paraId="2B36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2" w:type="pct"/>
            <w:vAlign w:val="center"/>
          </w:tcPr>
          <w:p w14:paraId="677FF6DA">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840" w:type="pct"/>
            <w:vAlign w:val="center"/>
          </w:tcPr>
          <w:p w14:paraId="62462EB8">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监测类别</w:t>
            </w:r>
          </w:p>
        </w:tc>
        <w:tc>
          <w:tcPr>
            <w:tcW w:w="706" w:type="pct"/>
            <w:vAlign w:val="center"/>
          </w:tcPr>
          <w:p w14:paraId="19334763">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256" w:type="pct"/>
            <w:vAlign w:val="center"/>
          </w:tcPr>
          <w:p w14:paraId="74112364">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c>
          <w:tcPr>
            <w:tcW w:w="773" w:type="pct"/>
            <w:vAlign w:val="center"/>
          </w:tcPr>
          <w:p w14:paraId="5B46C1DF">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14:paraId="7529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2" w:type="pct"/>
            <w:vMerge w:val="restart"/>
            <w:vAlign w:val="center"/>
          </w:tcPr>
          <w:p w14:paraId="079E1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40" w:type="pct"/>
            <w:vMerge w:val="restart"/>
            <w:vAlign w:val="center"/>
          </w:tcPr>
          <w:p w14:paraId="3CFD4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w:t>
            </w:r>
          </w:p>
        </w:tc>
        <w:tc>
          <w:tcPr>
            <w:tcW w:w="706" w:type="pct"/>
            <w:vMerge w:val="restart"/>
            <w:vAlign w:val="center"/>
          </w:tcPr>
          <w:p w14:paraId="0742F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c>
          <w:tcPr>
            <w:tcW w:w="2256" w:type="pct"/>
            <w:vAlign w:val="center"/>
          </w:tcPr>
          <w:p w14:paraId="261115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《挥发性有机物排放标准 第</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部分：</w:t>
            </w:r>
            <w:r>
              <w:rPr>
                <w:rFonts w:hint="eastAsia" w:ascii="Times New Roman" w:hAnsi="Times New Roman" w:eastAsia="宋体" w:cs="Times New Roman"/>
                <w:sz w:val="21"/>
                <w:szCs w:val="21"/>
                <w:lang w:val="en-US" w:eastAsia="zh-CN"/>
              </w:rPr>
              <w:t>其他行业</w:t>
            </w:r>
            <w:r>
              <w:rPr>
                <w:rFonts w:hint="default" w:ascii="Times New Roman" w:hAnsi="Times New Roman" w:eastAsia="宋体" w:cs="Times New Roman"/>
                <w:sz w:val="21"/>
                <w:szCs w:val="21"/>
                <w:lang w:val="en-US" w:eastAsia="zh-CN"/>
              </w:rPr>
              <w:t>》(DB37/2801.</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—201</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p>
        </w:tc>
        <w:tc>
          <w:tcPr>
            <w:tcW w:w="773" w:type="pct"/>
            <w:vMerge w:val="restart"/>
            <w:vAlign w:val="center"/>
          </w:tcPr>
          <w:p w14:paraId="03B50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B98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2" w:type="pct"/>
            <w:vMerge w:val="continue"/>
            <w:vAlign w:val="center"/>
          </w:tcPr>
          <w:p w14:paraId="438B6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840" w:type="pct"/>
            <w:vMerge w:val="continue"/>
            <w:vAlign w:val="center"/>
          </w:tcPr>
          <w:p w14:paraId="66CA1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706" w:type="pct"/>
            <w:vMerge w:val="continue"/>
            <w:vAlign w:val="center"/>
          </w:tcPr>
          <w:p w14:paraId="1A4AB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2256" w:type="pct"/>
            <w:vAlign w:val="center"/>
          </w:tcPr>
          <w:p w14:paraId="16598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《挥发性有机物排放标准 第6部分：有机化工》(DB37/2801.6—2018)</w:t>
            </w:r>
          </w:p>
        </w:tc>
        <w:tc>
          <w:tcPr>
            <w:tcW w:w="773" w:type="pct"/>
            <w:vMerge w:val="continue"/>
            <w:vAlign w:val="center"/>
          </w:tcPr>
          <w:p w14:paraId="28174E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14:paraId="7918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22" w:type="pct"/>
            <w:vMerge w:val="restart"/>
            <w:vAlign w:val="center"/>
          </w:tcPr>
          <w:p w14:paraId="4B757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840" w:type="pct"/>
            <w:vMerge w:val="restart"/>
            <w:vAlign w:val="center"/>
          </w:tcPr>
          <w:p w14:paraId="4682B5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tc>
        <w:tc>
          <w:tcPr>
            <w:tcW w:w="706" w:type="pct"/>
            <w:vAlign w:val="center"/>
          </w:tcPr>
          <w:p w14:paraId="127A5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有组织废气（塑料生产车间P1）VOCs</w:t>
            </w:r>
          </w:p>
        </w:tc>
        <w:tc>
          <w:tcPr>
            <w:tcW w:w="2256" w:type="pct"/>
            <w:vAlign w:val="center"/>
          </w:tcPr>
          <w:p w14:paraId="66B08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sz w:val="21"/>
                <w:szCs w:val="21"/>
                <w:lang w:val="en-US" w:eastAsia="zh-CN"/>
              </w:rPr>
              <w:t>《挥发性有机物排放标准 第6部分：有机化工》(DB37/2801.6—2018)</w:t>
            </w:r>
          </w:p>
        </w:tc>
        <w:tc>
          <w:tcPr>
            <w:tcW w:w="773" w:type="pct"/>
            <w:vAlign w:val="center"/>
          </w:tcPr>
          <w:p w14:paraId="3BBC0DD2">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60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4D8839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kg/h</w:t>
            </w:r>
          </w:p>
          <w:p w14:paraId="7B4D00C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r>
      <w:tr w14:paraId="271C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22" w:type="pct"/>
            <w:vMerge w:val="continue"/>
            <w:vAlign w:val="center"/>
          </w:tcPr>
          <w:p w14:paraId="41C0B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840" w:type="pct"/>
            <w:vMerge w:val="continue"/>
            <w:vAlign w:val="center"/>
          </w:tcPr>
          <w:p w14:paraId="227A2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706" w:type="pct"/>
            <w:vAlign w:val="center"/>
          </w:tcPr>
          <w:p w14:paraId="77DD5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有组织废气（醋酸生产车间P2）VOCs</w:t>
            </w:r>
          </w:p>
        </w:tc>
        <w:tc>
          <w:tcPr>
            <w:tcW w:w="2256" w:type="pct"/>
            <w:vAlign w:val="center"/>
          </w:tcPr>
          <w:p w14:paraId="75168E50">
            <w:pPr>
              <w:keepNext w:val="0"/>
              <w:keepLines w:val="0"/>
              <w:pageBreakBefore w:val="0"/>
              <w:widowControl w:val="0"/>
              <w:tabs>
                <w:tab w:val="left" w:pos="29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《挥发性有机物排放标准 第</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部分：</w:t>
            </w:r>
            <w:r>
              <w:rPr>
                <w:rFonts w:hint="eastAsia" w:ascii="Times New Roman" w:hAnsi="Times New Roman" w:eastAsia="宋体" w:cs="Times New Roman"/>
                <w:sz w:val="21"/>
                <w:szCs w:val="21"/>
                <w:lang w:val="en-US" w:eastAsia="zh-CN"/>
              </w:rPr>
              <w:t>其他行业</w:t>
            </w:r>
            <w:r>
              <w:rPr>
                <w:rFonts w:hint="default" w:ascii="Times New Roman" w:hAnsi="Times New Roman" w:eastAsia="宋体" w:cs="Times New Roman"/>
                <w:sz w:val="21"/>
                <w:szCs w:val="21"/>
                <w:lang w:val="en-US" w:eastAsia="zh-CN"/>
              </w:rPr>
              <w:t>》(DB37/ 2801.</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—201</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p>
        </w:tc>
        <w:tc>
          <w:tcPr>
            <w:tcW w:w="773" w:type="pct"/>
            <w:vAlign w:val="center"/>
          </w:tcPr>
          <w:p w14:paraId="0CDB0E8F">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60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1802C6C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kg/h</w:t>
            </w:r>
          </w:p>
          <w:p w14:paraId="5F611CD9">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14:paraId="184D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22" w:type="pct"/>
            <w:vAlign w:val="center"/>
          </w:tcPr>
          <w:p w14:paraId="35B337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40" w:type="pct"/>
            <w:vAlign w:val="center"/>
          </w:tcPr>
          <w:p w14:paraId="1876D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706" w:type="pct"/>
            <w:vAlign w:val="center"/>
          </w:tcPr>
          <w:p w14:paraId="4E8480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pH、CODcr、BOD</w:t>
            </w:r>
            <w:r>
              <w:rPr>
                <w:rFonts w:hint="eastAsia" w:ascii="Times New Roman" w:hAnsi="Times New Roman" w:eastAsia="宋体" w:cs="Times New Roman"/>
                <w:sz w:val="21"/>
                <w:szCs w:val="21"/>
                <w:vertAlign w:val="subscript"/>
                <w:lang w:val="en-US" w:eastAsia="zh-CN"/>
              </w:rPr>
              <w:t>5</w:t>
            </w: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-N、SS</w:t>
            </w:r>
          </w:p>
        </w:tc>
        <w:tc>
          <w:tcPr>
            <w:tcW w:w="2256" w:type="pct"/>
            <w:vAlign w:val="center"/>
          </w:tcPr>
          <w:p w14:paraId="51A79794">
            <w:pPr>
              <w:keepNext w:val="0"/>
              <w:keepLines w:val="0"/>
              <w:pageBreakBefore w:val="0"/>
              <w:widowControl w:val="0"/>
              <w:tabs>
                <w:tab w:val="left" w:pos="29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港航产业园污水处理厂废水接纳标准</w:t>
            </w:r>
          </w:p>
        </w:tc>
        <w:tc>
          <w:tcPr>
            <w:tcW w:w="773" w:type="pct"/>
            <w:shd w:val="clear" w:color="auto" w:fill="auto"/>
            <w:vAlign w:val="center"/>
          </w:tcPr>
          <w:p w14:paraId="22E0C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Ph6-9、CODcr500</w:t>
            </w:r>
            <w:r>
              <w:rPr>
                <w:rFonts w:hint="default" w:ascii="Times New Roman" w:hAnsi="Times New Roman" w:eastAsia="宋体" w:cs="Times New Roman"/>
                <w:sz w:val="21"/>
                <w:szCs w:val="21"/>
              </w:rPr>
              <w:t>mg/</w:t>
            </w:r>
            <w:r>
              <w:rPr>
                <w:rFonts w:hint="eastAsia" w:ascii="Times New Roman" w:hAnsi="Times New Roman" w:eastAsia="宋体" w:cs="Times New Roman"/>
                <w:sz w:val="21"/>
                <w:szCs w:val="21"/>
                <w:lang w:val="en-US" w:eastAsia="zh-CN"/>
              </w:rPr>
              <w:t>L、BOD</w:t>
            </w:r>
            <w:r>
              <w:rPr>
                <w:rFonts w:hint="eastAsia" w:ascii="Times New Roman" w:hAnsi="Times New Roman" w:eastAsia="宋体" w:cs="Times New Roman"/>
                <w:sz w:val="21"/>
                <w:szCs w:val="21"/>
                <w:vertAlign w:val="subscript"/>
                <w:lang w:val="en-US" w:eastAsia="zh-CN"/>
              </w:rPr>
              <w:t>5</w:t>
            </w:r>
            <w:r>
              <w:rPr>
                <w:rFonts w:hint="eastAsia" w:ascii="Times New Roman" w:hAnsi="Times New Roman" w:eastAsia="宋体" w:cs="Times New Roman"/>
                <w:sz w:val="21"/>
                <w:szCs w:val="21"/>
                <w:vertAlign w:val="baseline"/>
                <w:lang w:val="en-US" w:eastAsia="zh-CN"/>
              </w:rPr>
              <w:t>160</w:t>
            </w:r>
            <w:r>
              <w:rPr>
                <w:rFonts w:hint="default" w:ascii="Times New Roman" w:hAnsi="Times New Roman" w:eastAsia="宋体" w:cs="Times New Roman"/>
                <w:sz w:val="21"/>
                <w:szCs w:val="21"/>
              </w:rPr>
              <w:t>mg/</w:t>
            </w:r>
            <w:r>
              <w:rPr>
                <w:rFonts w:hint="eastAsia" w:ascii="Times New Roman" w:hAnsi="Times New Roman" w:eastAsia="宋体" w:cs="Times New Roman"/>
                <w:sz w:val="21"/>
                <w:szCs w:val="21"/>
                <w:lang w:val="en-US" w:eastAsia="zh-CN"/>
              </w:rPr>
              <w:t>L、NH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-N45</w:t>
            </w:r>
            <w:r>
              <w:rPr>
                <w:rFonts w:hint="default" w:ascii="Times New Roman" w:hAnsi="Times New Roman" w:eastAsia="宋体" w:cs="Times New Roman"/>
                <w:sz w:val="21"/>
                <w:szCs w:val="21"/>
              </w:rPr>
              <w:t>mg/</w:t>
            </w:r>
            <w:r>
              <w:rPr>
                <w:rFonts w:hint="eastAsia" w:ascii="Times New Roman" w:hAnsi="Times New Roman" w:eastAsia="宋体" w:cs="Times New Roman"/>
                <w:sz w:val="21"/>
                <w:szCs w:val="21"/>
                <w:lang w:val="en-US" w:eastAsia="zh-CN"/>
              </w:rPr>
              <w:t>L、SS400</w:t>
            </w:r>
            <w:r>
              <w:rPr>
                <w:rFonts w:hint="default" w:ascii="Times New Roman" w:hAnsi="Times New Roman" w:eastAsia="宋体" w:cs="Times New Roman"/>
                <w:sz w:val="21"/>
                <w:szCs w:val="21"/>
              </w:rPr>
              <w:t>mg/</w:t>
            </w:r>
            <w:r>
              <w:rPr>
                <w:rFonts w:hint="eastAsia" w:ascii="Times New Roman" w:hAnsi="Times New Roman" w:eastAsia="宋体" w:cs="Times New Roman"/>
                <w:sz w:val="21"/>
                <w:szCs w:val="21"/>
                <w:lang w:val="en-US" w:eastAsia="zh-CN"/>
              </w:rPr>
              <w:t>L</w:t>
            </w:r>
          </w:p>
        </w:tc>
      </w:tr>
      <w:tr w14:paraId="07BF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781C48D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40" w:type="pct"/>
            <w:vAlign w:val="center"/>
          </w:tcPr>
          <w:p w14:paraId="21CAE24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706" w:type="pct"/>
            <w:vAlign w:val="center"/>
          </w:tcPr>
          <w:p w14:paraId="72C0056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rPr>
              <w:t>Leq（dB（A）</w:t>
            </w:r>
          </w:p>
        </w:tc>
        <w:tc>
          <w:tcPr>
            <w:tcW w:w="2256" w:type="pct"/>
            <w:vAlign w:val="center"/>
          </w:tcPr>
          <w:p w14:paraId="318C8DD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eastAsia="宋体" w:cs="Times New Roman"/>
                <w:sz w:val="21"/>
                <w:szCs w:val="21"/>
              </w:rPr>
              <w:t>中</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类标准</w:t>
            </w:r>
          </w:p>
        </w:tc>
        <w:tc>
          <w:tcPr>
            <w:tcW w:w="773" w:type="pct"/>
            <w:vAlign w:val="center"/>
          </w:tcPr>
          <w:p w14:paraId="7816316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昼间：6</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dB</w:t>
            </w:r>
          </w:p>
          <w:p w14:paraId="030B1CF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夜间：5</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dB</w:t>
            </w:r>
          </w:p>
        </w:tc>
      </w:tr>
      <w:tr w14:paraId="6AFE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2" w:type="pct"/>
            <w:vMerge w:val="restart"/>
            <w:vAlign w:val="center"/>
          </w:tcPr>
          <w:p w14:paraId="2A5348F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40" w:type="pct"/>
            <w:vMerge w:val="restart"/>
            <w:vAlign w:val="center"/>
          </w:tcPr>
          <w:p w14:paraId="2C5DEB4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706" w:type="pct"/>
            <w:vAlign w:val="center"/>
          </w:tcPr>
          <w:p w14:paraId="4E1523C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一般固废</w:t>
            </w:r>
          </w:p>
        </w:tc>
        <w:tc>
          <w:tcPr>
            <w:tcW w:w="2256" w:type="pct"/>
            <w:vAlign w:val="center"/>
          </w:tcPr>
          <w:p w14:paraId="39A8C5C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rPr>
              <w:t>《中华人民共和国固体废物污染环境防治法》的要求规范建设和维护厂区内的固体废物临时堆放厂</w:t>
            </w:r>
          </w:p>
        </w:tc>
        <w:tc>
          <w:tcPr>
            <w:tcW w:w="773" w:type="pct"/>
            <w:vAlign w:val="center"/>
          </w:tcPr>
          <w:p w14:paraId="1A5C301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73D4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22" w:type="pct"/>
            <w:vMerge w:val="continue"/>
            <w:vAlign w:val="center"/>
          </w:tcPr>
          <w:p w14:paraId="0704DCC3">
            <w:pPr>
              <w:spacing w:line="240" w:lineRule="auto"/>
              <w:jc w:val="center"/>
              <w:rPr>
                <w:rFonts w:hint="default" w:ascii="Times New Roman" w:hAnsi="Times New Roman" w:eastAsia="宋体" w:cs="Times New Roman"/>
                <w:sz w:val="21"/>
                <w:szCs w:val="21"/>
                <w:lang w:val="en-US" w:eastAsia="zh-CN"/>
              </w:rPr>
            </w:pPr>
          </w:p>
        </w:tc>
        <w:tc>
          <w:tcPr>
            <w:tcW w:w="840" w:type="pct"/>
            <w:vMerge w:val="continue"/>
            <w:vAlign w:val="center"/>
          </w:tcPr>
          <w:p w14:paraId="11CADEEA">
            <w:pPr>
              <w:spacing w:line="240" w:lineRule="auto"/>
              <w:jc w:val="center"/>
              <w:rPr>
                <w:rFonts w:hint="default" w:ascii="Times New Roman" w:hAnsi="Times New Roman" w:eastAsia="宋体" w:cs="Times New Roman"/>
                <w:sz w:val="21"/>
                <w:szCs w:val="21"/>
                <w:lang w:val="en-US" w:eastAsia="zh-CN"/>
              </w:rPr>
            </w:pPr>
          </w:p>
        </w:tc>
        <w:tc>
          <w:tcPr>
            <w:tcW w:w="706" w:type="pct"/>
            <w:vAlign w:val="center"/>
          </w:tcPr>
          <w:p w14:paraId="4EC9260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危险废物</w:t>
            </w:r>
          </w:p>
        </w:tc>
        <w:tc>
          <w:tcPr>
            <w:tcW w:w="2256" w:type="pct"/>
            <w:vAlign w:val="center"/>
          </w:tcPr>
          <w:p w14:paraId="26B4119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rPr>
              <w:t>《危险废物贮存污染控制标准》（</w:t>
            </w:r>
            <w:r>
              <w:rPr>
                <w:rFonts w:hint="default" w:ascii="Times New Roman" w:hAnsi="Times New Roman" w:eastAsia="宋体" w:cs="Times New Roman"/>
                <w:color w:val="auto"/>
                <w:lang w:eastAsia="zh-CN"/>
              </w:rPr>
              <w:t>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lang w:val="en-US" w:eastAsia="zh-CN"/>
              </w:rPr>
              <w:t>相关要求</w:t>
            </w:r>
          </w:p>
        </w:tc>
        <w:tc>
          <w:tcPr>
            <w:tcW w:w="773" w:type="pct"/>
            <w:vAlign w:val="center"/>
          </w:tcPr>
          <w:p w14:paraId="15A67B7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64703CD4">
      <w:pPr>
        <w:widowControl/>
        <w:jc w:val="both"/>
        <w:rPr>
          <w:rFonts w:ascii="Times New Roman" w:hAnsi="Times New Roman" w:eastAsia="宋体" w:cs="Times New Roman"/>
          <w:b/>
          <w:sz w:val="32"/>
          <w:szCs w:val="32"/>
        </w:rPr>
      </w:pPr>
      <w:bookmarkStart w:id="37" w:name="_Toc3666"/>
    </w:p>
    <w:p w14:paraId="274D42FA">
      <w:pPr>
        <w:widowControl/>
        <w:jc w:val="center"/>
        <w:rPr>
          <w:rFonts w:ascii="Times New Roman" w:hAnsi="Times New Roman" w:eastAsia="宋体" w:cs="Times New Roman"/>
          <w:b/>
          <w:sz w:val="32"/>
          <w:szCs w:val="32"/>
        </w:rPr>
      </w:pPr>
    </w:p>
    <w:p w14:paraId="0F08F408">
      <w:pPr>
        <w:widowControl/>
        <w:jc w:val="center"/>
        <w:rPr>
          <w:rFonts w:ascii="Times New Roman" w:hAnsi="Times New Roman" w:eastAsia="宋体" w:cs="Times New Roman"/>
          <w:b/>
          <w:sz w:val="32"/>
          <w:szCs w:val="32"/>
        </w:rPr>
      </w:pPr>
    </w:p>
    <w:p w14:paraId="69D926E6">
      <w:pPr>
        <w:widowControl/>
        <w:jc w:val="center"/>
        <w:rPr>
          <w:rFonts w:ascii="Times New Roman" w:hAnsi="Times New Roman" w:eastAsia="宋体" w:cs="Times New Roman"/>
          <w:b/>
          <w:sz w:val="32"/>
          <w:szCs w:val="32"/>
        </w:rPr>
      </w:pPr>
    </w:p>
    <w:p w14:paraId="66FDBF5E">
      <w:pPr>
        <w:widowControl/>
        <w:jc w:val="center"/>
        <w:rPr>
          <w:rFonts w:ascii="Times New Roman" w:hAnsi="Times New Roman" w:eastAsia="宋体" w:cs="Times New Roman"/>
          <w:b/>
          <w:sz w:val="32"/>
          <w:szCs w:val="32"/>
        </w:rPr>
      </w:pPr>
    </w:p>
    <w:p w14:paraId="3D7650D9">
      <w:pPr>
        <w:widowControl/>
        <w:jc w:val="center"/>
        <w:rPr>
          <w:rFonts w:ascii="Times New Roman" w:hAnsi="Times New Roman" w:eastAsia="宋体" w:cs="Times New Roman"/>
          <w:b/>
          <w:sz w:val="32"/>
          <w:szCs w:val="32"/>
        </w:rPr>
      </w:pPr>
    </w:p>
    <w:p w14:paraId="4932223E">
      <w:pPr>
        <w:widowControl/>
        <w:jc w:val="center"/>
        <w:rPr>
          <w:rFonts w:ascii="Times New Roman" w:hAnsi="Times New Roman" w:eastAsia="宋体" w:cs="Times New Roman"/>
          <w:b/>
          <w:sz w:val="32"/>
          <w:szCs w:val="32"/>
        </w:rPr>
      </w:pPr>
    </w:p>
    <w:p w14:paraId="0E8EFE97">
      <w:pPr>
        <w:widowControl/>
        <w:jc w:val="center"/>
        <w:rPr>
          <w:rFonts w:ascii="Times New Roman" w:hAnsi="Times New Roman" w:eastAsia="宋体" w:cs="Times New Roman"/>
          <w:b/>
          <w:sz w:val="32"/>
          <w:szCs w:val="32"/>
        </w:rPr>
      </w:pPr>
    </w:p>
    <w:p w14:paraId="1B4CFCAB">
      <w:pPr>
        <w:widowControl/>
        <w:jc w:val="center"/>
        <w:rPr>
          <w:rFonts w:ascii="Times New Roman" w:hAnsi="Times New Roman" w:eastAsia="宋体" w:cs="Times New Roman"/>
          <w:b/>
          <w:sz w:val="32"/>
          <w:szCs w:val="32"/>
        </w:rPr>
      </w:pPr>
    </w:p>
    <w:p w14:paraId="52209EAB">
      <w:pPr>
        <w:widowControl/>
        <w:jc w:val="center"/>
        <w:rPr>
          <w:rFonts w:ascii="Times New Roman" w:hAnsi="Times New Roman" w:eastAsia="宋体" w:cs="Times New Roman"/>
          <w:b/>
          <w:sz w:val="32"/>
          <w:szCs w:val="32"/>
        </w:rPr>
      </w:pPr>
    </w:p>
    <w:p w14:paraId="7E629E93">
      <w:pPr>
        <w:widowControl/>
        <w:jc w:val="center"/>
        <w:rPr>
          <w:rFonts w:ascii="Times New Roman" w:hAnsi="Times New Roman" w:eastAsia="宋体" w:cs="Times New Roman"/>
          <w:b/>
          <w:sz w:val="32"/>
          <w:szCs w:val="32"/>
        </w:rPr>
      </w:pPr>
    </w:p>
    <w:p w14:paraId="348EBE0E">
      <w:pPr>
        <w:widowControl/>
        <w:jc w:val="center"/>
        <w:rPr>
          <w:rFonts w:ascii="Times New Roman" w:hAnsi="Times New Roman" w:eastAsia="宋体" w:cs="Times New Roman"/>
          <w:b/>
          <w:sz w:val="32"/>
          <w:szCs w:val="32"/>
        </w:rPr>
      </w:pPr>
      <w:r>
        <w:rPr>
          <w:rFonts w:ascii="Times New Roman" w:hAnsi="Times New Roman" w:eastAsia="宋体" w:cs="Times New Roman"/>
          <w:b/>
          <w:sz w:val="32"/>
          <w:szCs w:val="32"/>
        </w:rPr>
        <w:t>7、验收监测内容</w:t>
      </w:r>
      <w:bookmarkEnd w:id="37"/>
    </w:p>
    <w:p w14:paraId="75FE1A75">
      <w:pPr>
        <w:pStyle w:val="50"/>
        <w:spacing w:line="360" w:lineRule="auto"/>
        <w:ind w:firstLine="0" w:firstLineChars="0"/>
        <w:jc w:val="left"/>
        <w:outlineLvl w:val="1"/>
        <w:rPr>
          <w:rFonts w:ascii="Times New Roman" w:hAnsi="Times New Roman" w:eastAsia="宋体" w:cs="Times New Roman"/>
          <w:b/>
          <w:sz w:val="28"/>
          <w:szCs w:val="32"/>
        </w:rPr>
      </w:pPr>
      <w:bookmarkStart w:id="38" w:name="_Toc3490"/>
      <w:bookmarkStart w:id="39" w:name="_Toc15397"/>
      <w:r>
        <w:rPr>
          <w:rFonts w:ascii="Times New Roman" w:hAnsi="Times New Roman" w:eastAsia="宋体" w:cs="Times New Roman"/>
          <w:b/>
          <w:sz w:val="28"/>
          <w:szCs w:val="32"/>
        </w:rPr>
        <w:t>7.1 环境保护设施调试效果</w:t>
      </w:r>
      <w:bookmarkEnd w:id="38"/>
      <w:bookmarkEnd w:id="39"/>
    </w:p>
    <w:p w14:paraId="739819AB">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为核查该工程主要污染源和污染物及环保设施运转情况，确定本次验收主要监测内容为厂界噪声、有组织废气、无组织废气。</w:t>
      </w:r>
    </w:p>
    <w:p w14:paraId="4FBB7CFB">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7.1.1废气</w:t>
      </w:r>
    </w:p>
    <w:p w14:paraId="73A8F88A">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7.1.1.1有组织排放</w:t>
      </w:r>
    </w:p>
    <w:p w14:paraId="2E477DDC">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1、监测点位</w:t>
      </w:r>
    </w:p>
    <w:p w14:paraId="01B721FF">
      <w:pPr>
        <w:pStyle w:val="3"/>
        <w:spacing w:after="0" w:line="360" w:lineRule="auto"/>
        <w:ind w:left="0" w:firstLine="480" w:firstLineChars="200"/>
        <w:rPr>
          <w:rFonts w:hint="default" w:ascii="Times New Roman" w:hAnsi="Times New Roman" w:cs="Times New Roman"/>
          <w:color w:val="000000"/>
          <w:sz w:val="24"/>
          <w:szCs w:val="28"/>
        </w:rPr>
      </w:pPr>
      <w:bookmarkStart w:id="40" w:name="_Toc27679"/>
      <w:bookmarkStart w:id="41" w:name="_Toc4253"/>
      <w:r>
        <w:rPr>
          <w:rFonts w:hint="default" w:ascii="Times New Roman" w:hAnsi="Times New Roman" w:cs="Times New Roman"/>
          <w:color w:val="000000"/>
          <w:sz w:val="24"/>
          <w:szCs w:val="28"/>
        </w:rPr>
        <w:t>监测点位：根据项目生产情况及环保设施设置情况，在废气</w:t>
      </w:r>
      <w:r>
        <w:rPr>
          <w:rFonts w:hint="default" w:ascii="Times New Roman" w:hAnsi="Times New Roman" w:cs="Times New Roman"/>
          <w:color w:val="000000"/>
          <w:sz w:val="24"/>
          <w:szCs w:val="28"/>
          <w:lang w:val="en-US" w:eastAsia="zh-CN"/>
        </w:rPr>
        <w:t>排气筒</w:t>
      </w:r>
      <w:r>
        <w:rPr>
          <w:rFonts w:hint="default" w:ascii="Times New Roman" w:hAnsi="Times New Roman" w:cs="Times New Roman"/>
          <w:color w:val="000000"/>
          <w:sz w:val="24"/>
          <w:szCs w:val="28"/>
        </w:rPr>
        <w:t>处设置监测点位。</w:t>
      </w:r>
      <w:bookmarkEnd w:id="40"/>
      <w:bookmarkEnd w:id="41"/>
    </w:p>
    <w:p w14:paraId="4A6F7046">
      <w:pPr>
        <w:pStyle w:val="3"/>
        <w:spacing w:after="0" w:line="360" w:lineRule="auto"/>
        <w:ind w:left="0"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cs="Times New Roman"/>
          <w:color w:val="000000"/>
          <w:sz w:val="24"/>
          <w:szCs w:val="28"/>
        </w:rPr>
        <w:t>2、</w:t>
      </w:r>
      <w:r>
        <w:rPr>
          <w:rFonts w:hint="default" w:ascii="Times New Roman" w:hAnsi="Times New Roman" w:cs="Times New Roman"/>
          <w:color w:val="000000"/>
          <w:sz w:val="24"/>
          <w:szCs w:val="28"/>
          <w:lang w:val="en-US" w:eastAsia="zh-CN"/>
        </w:rPr>
        <w:t>监测方法/依据、监测仪器</w:t>
      </w:r>
    </w:p>
    <w:p w14:paraId="0DFE1D0C">
      <w:pPr>
        <w:pStyle w:val="3"/>
        <w:spacing w:after="0" w:line="24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cs="Times New Roman"/>
          <w:b/>
          <w:sz w:val="22"/>
          <w:szCs w:val="24"/>
        </w:rPr>
        <w:t xml:space="preserve">表7-1  </w:t>
      </w:r>
      <w:r>
        <w:rPr>
          <w:rFonts w:hint="default" w:ascii="Times New Roman" w:hAnsi="Times New Roman" w:cs="Times New Roman"/>
          <w:b/>
          <w:sz w:val="22"/>
          <w:szCs w:val="24"/>
          <w:lang w:val="en-US" w:eastAsia="zh-CN"/>
        </w:rPr>
        <w:t>监测项目方法及设备一览表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244"/>
        <w:gridCol w:w="2842"/>
        <w:gridCol w:w="1231"/>
        <w:gridCol w:w="2013"/>
        <w:gridCol w:w="1144"/>
      </w:tblGrid>
      <w:tr w14:paraId="2FAD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Align w:val="center"/>
          </w:tcPr>
          <w:p w14:paraId="6E1BBAEF">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样品</w:t>
            </w:r>
          </w:p>
          <w:p w14:paraId="1495EAFC">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类别</w:t>
            </w:r>
          </w:p>
        </w:tc>
        <w:tc>
          <w:tcPr>
            <w:tcW w:w="670" w:type="pct"/>
            <w:vAlign w:val="center"/>
          </w:tcPr>
          <w:p w14:paraId="6672C2BB">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检测</w:t>
            </w:r>
          </w:p>
          <w:p w14:paraId="34418564">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项目</w:t>
            </w:r>
          </w:p>
        </w:tc>
        <w:tc>
          <w:tcPr>
            <w:tcW w:w="1530" w:type="pct"/>
            <w:vAlign w:val="center"/>
          </w:tcPr>
          <w:p w14:paraId="4FF6F63A">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检测方法</w:t>
            </w:r>
          </w:p>
        </w:tc>
        <w:tc>
          <w:tcPr>
            <w:tcW w:w="663" w:type="pct"/>
            <w:vAlign w:val="center"/>
          </w:tcPr>
          <w:p w14:paraId="033AE40A">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方法依据</w:t>
            </w:r>
          </w:p>
        </w:tc>
        <w:tc>
          <w:tcPr>
            <w:tcW w:w="1084" w:type="pct"/>
            <w:vAlign w:val="center"/>
          </w:tcPr>
          <w:p w14:paraId="4A348503">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仪器设备及编号</w:t>
            </w:r>
          </w:p>
        </w:tc>
        <w:tc>
          <w:tcPr>
            <w:tcW w:w="616" w:type="pct"/>
            <w:vAlign w:val="center"/>
          </w:tcPr>
          <w:p w14:paraId="5705BB45">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检出限</w:t>
            </w:r>
          </w:p>
        </w:tc>
      </w:tr>
      <w:tr w14:paraId="0562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Align w:val="center"/>
          </w:tcPr>
          <w:p w14:paraId="1BCF5718">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有组织</w:t>
            </w:r>
          </w:p>
          <w:p w14:paraId="65B30B40">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废气</w:t>
            </w:r>
          </w:p>
        </w:tc>
        <w:tc>
          <w:tcPr>
            <w:tcW w:w="670" w:type="pct"/>
            <w:shd w:val="clear" w:color="auto" w:fill="auto"/>
            <w:vAlign w:val="center"/>
          </w:tcPr>
          <w:p w14:paraId="267867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kern w:val="2"/>
                <w:sz w:val="21"/>
                <w:szCs w:val="21"/>
                <w:highlight w:val="none"/>
                <w:lang w:val="en-US" w:eastAsia="zh-CN" w:bidi="ar-SA"/>
              </w:rPr>
              <w:t>挥发性有机物（VOCs）</w:t>
            </w:r>
          </w:p>
        </w:tc>
        <w:tc>
          <w:tcPr>
            <w:tcW w:w="1530" w:type="pct"/>
            <w:shd w:val="clear" w:color="auto" w:fill="auto"/>
            <w:vAlign w:val="center"/>
          </w:tcPr>
          <w:p w14:paraId="2762EAC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 xml:space="preserve"> 固定污染源废气 挥发性有机物的测定 固相吸附-热脱附/气相色谱-质谱法</w:t>
            </w:r>
          </w:p>
        </w:tc>
        <w:tc>
          <w:tcPr>
            <w:tcW w:w="663" w:type="pct"/>
            <w:shd w:val="clear" w:color="auto" w:fill="auto"/>
            <w:vAlign w:val="center"/>
          </w:tcPr>
          <w:p w14:paraId="42646B1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eastAsia="zh-CN"/>
              </w:rPr>
              <w:t>HJ 734-2014</w:t>
            </w:r>
          </w:p>
        </w:tc>
        <w:tc>
          <w:tcPr>
            <w:tcW w:w="1084" w:type="pct"/>
            <w:shd w:val="clear" w:color="auto" w:fill="auto"/>
            <w:vAlign w:val="center"/>
          </w:tcPr>
          <w:p w14:paraId="12E2EA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0"/>
                <w:szCs w:val="21"/>
                <w:lang w:eastAsia="zh-CN"/>
              </w:rPr>
              <w:t>气相色谱</w:t>
            </w:r>
            <w:r>
              <w:rPr>
                <w:rFonts w:hint="eastAsia" w:cs="Times New Roman"/>
                <w:bCs/>
                <w:color w:val="auto"/>
                <w:kern w:val="0"/>
                <w:szCs w:val="21"/>
                <w:lang w:val="en-US" w:eastAsia="zh-CN"/>
              </w:rPr>
              <w:t>-质谱</w:t>
            </w:r>
            <w:r>
              <w:rPr>
                <w:rFonts w:hint="default" w:ascii="Times New Roman" w:hAnsi="Times New Roman" w:cs="Times New Roman"/>
                <w:color w:val="auto"/>
                <w:sz w:val="21"/>
                <w:szCs w:val="21"/>
              </w:rPr>
              <w:t>联用仪SDTZA2-004</w:t>
            </w:r>
          </w:p>
        </w:tc>
        <w:tc>
          <w:tcPr>
            <w:tcW w:w="616" w:type="pct"/>
            <w:shd w:val="clear" w:color="auto" w:fill="auto"/>
            <w:vAlign w:val="center"/>
          </w:tcPr>
          <w:p w14:paraId="10C9226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w:t>
            </w:r>
          </w:p>
        </w:tc>
      </w:tr>
      <w:tr w14:paraId="11F4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restart"/>
            <w:shd w:val="clear" w:color="auto" w:fill="auto"/>
            <w:vAlign w:val="center"/>
          </w:tcPr>
          <w:p w14:paraId="6694DD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废水</w:t>
            </w:r>
          </w:p>
          <w:p w14:paraId="189CFFD5">
            <w:pPr>
              <w:jc w:val="center"/>
              <w:rPr>
                <w:rFonts w:hint="default" w:ascii="Times New Roman" w:hAnsi="Times New Roman" w:cs="Times New Roman"/>
                <w:bCs/>
                <w:color w:val="000000" w:themeColor="text1"/>
                <w:szCs w:val="21"/>
                <w:lang w:eastAsia="zh-CN"/>
                <w14:textFill>
                  <w14:solidFill>
                    <w14:schemeClr w14:val="tx1"/>
                  </w14:solidFill>
                </w14:textFill>
              </w:rPr>
            </w:pPr>
          </w:p>
          <w:p w14:paraId="6B14CB51">
            <w:pPr>
              <w:pStyle w:val="2"/>
              <w:rPr>
                <w:rFonts w:hint="default"/>
                <w:lang w:eastAsia="zh-CN"/>
              </w:rPr>
            </w:pPr>
          </w:p>
        </w:tc>
        <w:tc>
          <w:tcPr>
            <w:tcW w:w="670" w:type="pct"/>
            <w:shd w:val="clear" w:color="auto" w:fill="auto"/>
            <w:vAlign w:val="center"/>
          </w:tcPr>
          <w:p w14:paraId="31DED1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pH值</w:t>
            </w:r>
          </w:p>
        </w:tc>
        <w:tc>
          <w:tcPr>
            <w:tcW w:w="1530" w:type="pct"/>
            <w:shd w:val="clear" w:color="auto" w:fill="auto"/>
            <w:vAlign w:val="center"/>
          </w:tcPr>
          <w:p w14:paraId="2C3C00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w:t>
            </w:r>
            <w:r>
              <w:rPr>
                <w:rFonts w:hint="default" w:ascii="Times New Roman" w:hAnsi="Times New Roman" w:eastAsia="宋体" w:cs="Times New Roman"/>
                <w:color w:val="auto"/>
                <w:sz w:val="21"/>
                <w:szCs w:val="21"/>
                <w:lang w:eastAsia="zh-CN"/>
              </w:rPr>
              <w:t>pH值</w:t>
            </w:r>
            <w:r>
              <w:rPr>
                <w:rFonts w:hint="default" w:ascii="Times New Roman" w:hAnsi="Times New Roman" w:eastAsia="宋体" w:cs="Times New Roman"/>
                <w:color w:val="auto"/>
                <w:sz w:val="21"/>
                <w:szCs w:val="21"/>
              </w:rPr>
              <w:t>的测定</w:t>
            </w:r>
          </w:p>
          <w:p w14:paraId="1189AA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 xml:space="preserve"> 电极法</w:t>
            </w:r>
          </w:p>
        </w:tc>
        <w:tc>
          <w:tcPr>
            <w:tcW w:w="663" w:type="pct"/>
            <w:shd w:val="clear" w:color="auto" w:fill="auto"/>
            <w:vAlign w:val="center"/>
          </w:tcPr>
          <w:p w14:paraId="5F5362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HJ 1147-2020</w:t>
            </w:r>
          </w:p>
        </w:tc>
        <w:tc>
          <w:tcPr>
            <w:tcW w:w="1084" w:type="pct"/>
            <w:shd w:val="clear" w:color="auto" w:fill="auto"/>
            <w:vAlign w:val="center"/>
          </w:tcPr>
          <w:p w14:paraId="05E553E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eastAsia="zh-CN"/>
              </w:rPr>
              <w:t>便携式</w:t>
            </w:r>
            <w:r>
              <w:rPr>
                <w:rFonts w:hint="default" w:ascii="Times New Roman" w:hAnsi="Times New Roman" w:cs="Times New Roman"/>
                <w:color w:val="auto"/>
                <w:szCs w:val="21"/>
                <w:lang w:eastAsia="zh-CN"/>
              </w:rPr>
              <w:t>pH</w:t>
            </w:r>
            <w:r>
              <w:rPr>
                <w:rFonts w:hint="default" w:ascii="Times New Roman" w:hAnsi="Times New Roman" w:cs="Times New Roman"/>
                <w:color w:val="auto"/>
                <w:kern w:val="0"/>
                <w:szCs w:val="21"/>
                <w:lang w:eastAsia="zh-CN"/>
              </w:rPr>
              <w:t>计</w:t>
            </w:r>
            <w:r>
              <w:rPr>
                <w:rFonts w:hint="default" w:ascii="Times New Roman" w:hAnsi="Times New Roman" w:cs="Times New Roman"/>
                <w:color w:val="000000"/>
                <w:kern w:val="0"/>
                <w:szCs w:val="21"/>
              </w:rPr>
              <w:t>SDTZA</w:t>
            </w:r>
            <w:r>
              <w:rPr>
                <w:rFonts w:hint="default" w:ascii="Times New Roman" w:hAnsi="Times New Roman" w:cs="Times New Roman"/>
                <w:color w:val="000000"/>
                <w:kern w:val="0"/>
                <w:szCs w:val="21"/>
                <w:lang w:val="en-US"/>
              </w:rPr>
              <w:t>7-0</w:t>
            </w:r>
            <w:r>
              <w:rPr>
                <w:rFonts w:hint="eastAsia" w:cs="Times New Roman"/>
                <w:color w:val="000000"/>
                <w:kern w:val="0"/>
                <w:szCs w:val="21"/>
                <w:lang w:val="en-US" w:eastAsia="zh-CN"/>
              </w:rPr>
              <w:t>20</w:t>
            </w:r>
          </w:p>
        </w:tc>
        <w:tc>
          <w:tcPr>
            <w:tcW w:w="616" w:type="pct"/>
            <w:shd w:val="clear" w:color="auto" w:fill="auto"/>
            <w:vAlign w:val="center"/>
          </w:tcPr>
          <w:p w14:paraId="1BBEE2CB">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w:t>
            </w:r>
          </w:p>
        </w:tc>
      </w:tr>
      <w:tr w14:paraId="52D1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1D1A566F">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16858AA3">
            <w:pPr>
              <w:jc w:val="center"/>
              <w:rPr>
                <w:rFonts w:hint="default" w:ascii="Times New Roman" w:hAnsi="Times New Roman" w:cs="Times New Roman"/>
                <w:szCs w:val="21"/>
              </w:rPr>
            </w:pPr>
            <w:r>
              <w:rPr>
                <w:rFonts w:hint="default" w:ascii="Times New Roman" w:hAnsi="Times New Roman" w:cs="Times New Roman"/>
                <w:szCs w:val="21"/>
              </w:rPr>
              <w:t>化学</w:t>
            </w:r>
          </w:p>
          <w:p w14:paraId="4253A0E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需氧量</w:t>
            </w:r>
          </w:p>
        </w:tc>
        <w:tc>
          <w:tcPr>
            <w:tcW w:w="1530" w:type="pct"/>
            <w:shd w:val="clear" w:color="auto" w:fill="auto"/>
            <w:vAlign w:val="center"/>
          </w:tcPr>
          <w:p w14:paraId="3E86E3CA">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水质 化学需氧量的测定</w:t>
            </w:r>
          </w:p>
          <w:p w14:paraId="47D20AFA">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color w:val="auto"/>
                <w:sz w:val="21"/>
                <w:szCs w:val="21"/>
                <w:lang w:eastAsia="zh-CN"/>
              </w:rPr>
              <w:t xml:space="preserve"> 重铬酸盐法</w:t>
            </w:r>
          </w:p>
        </w:tc>
        <w:tc>
          <w:tcPr>
            <w:tcW w:w="663" w:type="pct"/>
            <w:shd w:val="clear" w:color="auto" w:fill="auto"/>
            <w:vAlign w:val="center"/>
          </w:tcPr>
          <w:p w14:paraId="0CF3F978">
            <w:pPr>
              <w:spacing w:line="240" w:lineRule="auto"/>
              <w:jc w:val="center"/>
              <w:rPr>
                <w:rFonts w:hint="default" w:ascii="Times New Roman" w:hAnsi="Times New Roman" w:cs="Times New Roman"/>
                <w:szCs w:val="21"/>
              </w:rPr>
            </w:pPr>
            <w:r>
              <w:rPr>
                <w:rFonts w:hint="default" w:ascii="Times New Roman" w:hAnsi="Times New Roman" w:cs="Times New Roman"/>
                <w:szCs w:val="21"/>
              </w:rPr>
              <w:t>HJ</w:t>
            </w:r>
          </w:p>
          <w:p w14:paraId="5BFA1E0B">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828-2017</w:t>
            </w:r>
          </w:p>
        </w:tc>
        <w:tc>
          <w:tcPr>
            <w:tcW w:w="1084" w:type="pct"/>
            <w:shd w:val="clear" w:color="auto" w:fill="auto"/>
            <w:vAlign w:val="center"/>
          </w:tcPr>
          <w:p w14:paraId="372390AE">
            <w:pPr>
              <w:jc w:val="center"/>
              <w:rPr>
                <w:rFonts w:hint="default" w:ascii="Times New Roman" w:hAnsi="Times New Roman" w:cs="Times New Roman"/>
                <w:bCs/>
                <w:szCs w:val="21"/>
              </w:rPr>
            </w:pPr>
            <w:r>
              <w:rPr>
                <w:rFonts w:hint="default" w:ascii="Times New Roman" w:hAnsi="Times New Roman" w:cs="Times New Roman"/>
                <w:bCs/>
                <w:szCs w:val="21"/>
              </w:rPr>
              <w:t>酸</w:t>
            </w:r>
            <w:r>
              <w:rPr>
                <w:rFonts w:hint="default" w:ascii="Times New Roman" w:hAnsi="Times New Roman" w:cs="Times New Roman"/>
                <w:bCs/>
                <w:szCs w:val="21"/>
                <w:lang w:eastAsia="zh-CN"/>
              </w:rPr>
              <w:t>式</w:t>
            </w:r>
            <w:r>
              <w:rPr>
                <w:rFonts w:hint="default" w:ascii="Times New Roman" w:hAnsi="Times New Roman" w:cs="Times New Roman"/>
                <w:bCs/>
                <w:szCs w:val="21"/>
              </w:rPr>
              <w:t>滴定管</w:t>
            </w:r>
          </w:p>
          <w:p w14:paraId="672B950F">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SDTZA6-0</w:t>
            </w:r>
            <w:r>
              <w:rPr>
                <w:rFonts w:hint="default" w:ascii="Times New Roman" w:hAnsi="Times New Roman" w:cs="Times New Roman"/>
                <w:bCs/>
                <w:szCs w:val="21"/>
                <w:lang w:val="en-US" w:eastAsia="zh-CN"/>
              </w:rPr>
              <w:t>74</w:t>
            </w:r>
          </w:p>
        </w:tc>
        <w:tc>
          <w:tcPr>
            <w:tcW w:w="616" w:type="pct"/>
            <w:shd w:val="clear" w:color="auto" w:fill="auto"/>
            <w:vAlign w:val="center"/>
          </w:tcPr>
          <w:p w14:paraId="214271AF">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4mg/L</w:t>
            </w:r>
          </w:p>
        </w:tc>
      </w:tr>
      <w:tr w14:paraId="3DCC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203D0C9E">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5E04ED1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氨氮</w:t>
            </w:r>
          </w:p>
        </w:tc>
        <w:tc>
          <w:tcPr>
            <w:tcW w:w="1530" w:type="pct"/>
            <w:shd w:val="clear" w:color="auto" w:fill="auto"/>
            <w:vAlign w:val="center"/>
          </w:tcPr>
          <w:p w14:paraId="4D3E76AE">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 xml:space="preserve">水质  氨氮的测定  </w:t>
            </w:r>
          </w:p>
          <w:p w14:paraId="0887F63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eastAsia="zh-CN"/>
              </w:rPr>
              <w:t>纳氏试剂分光光度法</w:t>
            </w:r>
          </w:p>
        </w:tc>
        <w:tc>
          <w:tcPr>
            <w:tcW w:w="663" w:type="pct"/>
            <w:shd w:val="clear" w:color="auto" w:fill="auto"/>
            <w:vAlign w:val="center"/>
          </w:tcPr>
          <w:p w14:paraId="48960C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HJ 535-2009</w:t>
            </w:r>
          </w:p>
        </w:tc>
        <w:tc>
          <w:tcPr>
            <w:tcW w:w="1084" w:type="pct"/>
            <w:shd w:val="clear" w:color="auto" w:fill="auto"/>
            <w:vAlign w:val="center"/>
          </w:tcPr>
          <w:p w14:paraId="659200E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722S</w:t>
            </w:r>
            <w:r>
              <w:rPr>
                <w:rFonts w:hint="default" w:ascii="Times New Roman" w:hAnsi="Times New Roman" w:cs="Times New Roman"/>
                <w:color w:val="auto"/>
                <w:sz w:val="21"/>
                <w:szCs w:val="21"/>
              </w:rPr>
              <w:t>可见分光光度计SDTZA1-006</w:t>
            </w:r>
          </w:p>
        </w:tc>
        <w:tc>
          <w:tcPr>
            <w:tcW w:w="616" w:type="pct"/>
            <w:shd w:val="clear" w:color="auto" w:fill="auto"/>
            <w:vAlign w:val="center"/>
          </w:tcPr>
          <w:p w14:paraId="7A39AB5A">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0.025mg/L</w:t>
            </w:r>
          </w:p>
        </w:tc>
      </w:tr>
      <w:tr w14:paraId="5355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42551E20">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1C44AE30">
            <w:pPr>
              <w:spacing w:line="240" w:lineRule="auto"/>
              <w:jc w:val="center"/>
              <w:rPr>
                <w:rFonts w:hint="default" w:ascii="Times New Roman" w:hAnsi="Times New Roman" w:eastAsia="宋体" w:cs="Times New Roman"/>
                <w:color w:val="000000"/>
                <w:kern w:val="2"/>
                <w:sz w:val="21"/>
                <w:szCs w:val="21"/>
                <w:lang w:val="en-US" w:eastAsia="zh-CN" w:bidi="ar-SA"/>
              </w:rPr>
            </w:pPr>
            <w:r>
              <w:rPr>
                <w:color w:val="auto"/>
                <w:szCs w:val="21"/>
              </w:rPr>
              <w:t>硫酸盐</w:t>
            </w:r>
          </w:p>
        </w:tc>
        <w:tc>
          <w:tcPr>
            <w:tcW w:w="1530" w:type="pct"/>
            <w:shd w:val="clear" w:color="auto" w:fill="auto"/>
            <w:vAlign w:val="center"/>
          </w:tcPr>
          <w:p w14:paraId="07691A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水质 无机阴离子（F</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、Cl</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、Br</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、PO</w:t>
            </w:r>
            <w:r>
              <w:rPr>
                <w:rFonts w:hint="default" w:ascii="Times New Roman" w:hAnsi="Times New Roman" w:cs="Times New Roman" w:eastAsiaTheme="minorEastAsia"/>
                <w:color w:val="auto"/>
                <w:sz w:val="21"/>
                <w:szCs w:val="21"/>
                <w:vertAlign w:val="subscript"/>
              </w:rPr>
              <w:t>4</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4</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）的测定离子色谱法</w:t>
            </w:r>
          </w:p>
        </w:tc>
        <w:tc>
          <w:tcPr>
            <w:tcW w:w="663" w:type="pct"/>
            <w:shd w:val="clear" w:color="auto" w:fill="auto"/>
            <w:vAlign w:val="center"/>
          </w:tcPr>
          <w:p w14:paraId="4ECA7C3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HJ84-2016</w:t>
            </w:r>
          </w:p>
        </w:tc>
        <w:tc>
          <w:tcPr>
            <w:tcW w:w="1084" w:type="pct"/>
            <w:shd w:val="clear" w:color="auto" w:fill="auto"/>
            <w:vAlign w:val="center"/>
          </w:tcPr>
          <w:p w14:paraId="2E728B9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离子色谱仪</w:t>
            </w:r>
            <w:r>
              <w:rPr>
                <w:rFonts w:hint="default" w:ascii="Times New Roman" w:hAnsi="Times New Roman" w:cs="Times New Roman"/>
                <w:color w:val="auto"/>
                <w:szCs w:val="21"/>
              </w:rPr>
              <w:t>SDTZA2-001</w:t>
            </w:r>
          </w:p>
        </w:tc>
        <w:tc>
          <w:tcPr>
            <w:tcW w:w="616" w:type="pct"/>
            <w:shd w:val="clear" w:color="auto" w:fill="auto"/>
            <w:vAlign w:val="center"/>
          </w:tcPr>
          <w:p w14:paraId="6E7075D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0.018</w:t>
            </w:r>
            <w:r>
              <w:rPr>
                <w:rFonts w:hint="default" w:ascii="Times New Roman" w:hAnsi="Times New Roman" w:cs="Times New Roman"/>
                <w:bCs/>
                <w:color w:val="auto"/>
                <w:kern w:val="0"/>
                <w:szCs w:val="21"/>
              </w:rPr>
              <w:t>mg/L</w:t>
            </w:r>
          </w:p>
        </w:tc>
      </w:tr>
      <w:tr w14:paraId="009A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37E6811D">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68097C8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悬浮物</w:t>
            </w:r>
          </w:p>
        </w:tc>
        <w:tc>
          <w:tcPr>
            <w:tcW w:w="1530" w:type="pct"/>
            <w:shd w:val="clear" w:color="auto" w:fill="auto"/>
            <w:vAlign w:val="center"/>
          </w:tcPr>
          <w:p w14:paraId="450E30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水质 悬浮物的测定 重量法</w:t>
            </w:r>
          </w:p>
        </w:tc>
        <w:tc>
          <w:tcPr>
            <w:tcW w:w="663" w:type="pct"/>
            <w:shd w:val="clear" w:color="auto" w:fill="auto"/>
            <w:vAlign w:val="center"/>
          </w:tcPr>
          <w:p w14:paraId="436F2F6B">
            <w:pPr>
              <w:jc w:val="center"/>
              <w:rPr>
                <w:rFonts w:hint="default" w:ascii="Times New Roman" w:hAnsi="Times New Roman" w:cs="Times New Roman"/>
                <w:color w:val="auto"/>
                <w:szCs w:val="21"/>
              </w:rPr>
            </w:pPr>
            <w:r>
              <w:rPr>
                <w:rFonts w:hint="default" w:ascii="Times New Roman" w:hAnsi="Times New Roman" w:cs="Times New Roman"/>
                <w:color w:val="auto"/>
                <w:szCs w:val="21"/>
              </w:rPr>
              <w:t>GB/T</w:t>
            </w:r>
          </w:p>
          <w:p w14:paraId="152770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11901-1989</w:t>
            </w:r>
          </w:p>
        </w:tc>
        <w:tc>
          <w:tcPr>
            <w:tcW w:w="1084" w:type="pct"/>
            <w:shd w:val="clear" w:color="auto" w:fill="auto"/>
            <w:vAlign w:val="center"/>
          </w:tcPr>
          <w:p w14:paraId="556DEA1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电子天平</w:t>
            </w:r>
          </w:p>
          <w:p w14:paraId="2149C6E0">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SDTZA3-005</w:t>
            </w:r>
          </w:p>
        </w:tc>
        <w:tc>
          <w:tcPr>
            <w:tcW w:w="616" w:type="pct"/>
            <w:shd w:val="clear" w:color="auto" w:fill="auto"/>
            <w:vAlign w:val="center"/>
          </w:tcPr>
          <w:p w14:paraId="5BE55A8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szCs w:val="21"/>
              </w:rPr>
              <w:t>/</w:t>
            </w:r>
          </w:p>
        </w:tc>
      </w:tr>
      <w:tr w14:paraId="25E6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066CC51C">
            <w:pPr>
              <w:pStyle w:val="2"/>
              <w:rPr>
                <w:rFonts w:hint="default"/>
                <w:lang w:eastAsia="zh-CN"/>
              </w:rPr>
            </w:pPr>
          </w:p>
        </w:tc>
        <w:tc>
          <w:tcPr>
            <w:tcW w:w="670" w:type="pct"/>
            <w:shd w:val="clear" w:color="auto" w:fill="auto"/>
            <w:vAlign w:val="center"/>
          </w:tcPr>
          <w:p w14:paraId="1F44DD2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全盐量</w:t>
            </w:r>
          </w:p>
        </w:tc>
        <w:tc>
          <w:tcPr>
            <w:tcW w:w="1530" w:type="pct"/>
            <w:shd w:val="clear" w:color="auto" w:fill="auto"/>
            <w:vAlign w:val="center"/>
          </w:tcPr>
          <w:p w14:paraId="0F22C1D9">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水质 全盐量的测定 </w:t>
            </w:r>
          </w:p>
          <w:p w14:paraId="0844404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重量法</w:t>
            </w:r>
          </w:p>
        </w:tc>
        <w:tc>
          <w:tcPr>
            <w:tcW w:w="663" w:type="pct"/>
            <w:shd w:val="clear" w:color="auto" w:fill="auto"/>
            <w:vAlign w:val="center"/>
          </w:tcPr>
          <w:p w14:paraId="7D3287E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HJ/T 51-1999</w:t>
            </w:r>
          </w:p>
        </w:tc>
        <w:tc>
          <w:tcPr>
            <w:tcW w:w="1084" w:type="pct"/>
            <w:shd w:val="clear" w:color="auto" w:fill="auto"/>
            <w:vAlign w:val="center"/>
          </w:tcPr>
          <w:p w14:paraId="5A11AD5B">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电子天平</w:t>
            </w:r>
          </w:p>
          <w:p w14:paraId="0D2C4179">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SDTZA3-005</w:t>
            </w:r>
          </w:p>
        </w:tc>
        <w:tc>
          <w:tcPr>
            <w:tcW w:w="616" w:type="pct"/>
            <w:shd w:val="clear" w:color="auto" w:fill="auto"/>
            <w:vAlign w:val="center"/>
          </w:tcPr>
          <w:p w14:paraId="4573D1A6">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w:t>
            </w:r>
          </w:p>
        </w:tc>
      </w:tr>
      <w:tr w14:paraId="379C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Merge w:val="continue"/>
            <w:vAlign w:val="center"/>
          </w:tcPr>
          <w:p w14:paraId="7D812F29">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301E8D1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总磷</w:t>
            </w:r>
          </w:p>
        </w:tc>
        <w:tc>
          <w:tcPr>
            <w:tcW w:w="1530" w:type="pct"/>
            <w:shd w:val="clear" w:color="auto" w:fill="auto"/>
            <w:vAlign w:val="center"/>
          </w:tcPr>
          <w:p w14:paraId="4C5979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总磷的测定</w:t>
            </w:r>
          </w:p>
          <w:p w14:paraId="0C22ABC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钼酸铵分光光度法</w:t>
            </w:r>
          </w:p>
        </w:tc>
        <w:tc>
          <w:tcPr>
            <w:tcW w:w="663" w:type="pct"/>
            <w:shd w:val="clear" w:color="auto" w:fill="auto"/>
            <w:vAlign w:val="center"/>
          </w:tcPr>
          <w:p w14:paraId="6F70643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11893-1989</w:t>
            </w:r>
          </w:p>
        </w:tc>
        <w:tc>
          <w:tcPr>
            <w:tcW w:w="1084" w:type="pct"/>
            <w:shd w:val="clear" w:color="auto" w:fill="auto"/>
            <w:vAlign w:val="center"/>
          </w:tcPr>
          <w:p w14:paraId="5536CC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722</w:t>
            </w:r>
            <w:r>
              <w:rPr>
                <w:rFonts w:hint="default" w:ascii="Times New Roman" w:hAnsi="Times New Roman" w:eastAsia="宋体" w:cs="Times New Roman"/>
                <w:color w:val="auto"/>
                <w:szCs w:val="21"/>
              </w:rPr>
              <w:t>可见分光光度计SDTZA1-00</w:t>
            </w:r>
            <w:r>
              <w:rPr>
                <w:rFonts w:hint="default" w:ascii="Times New Roman" w:hAnsi="Times New Roman" w:cs="Times New Roman"/>
                <w:color w:val="auto"/>
                <w:szCs w:val="21"/>
                <w:lang w:val="en-US"/>
              </w:rPr>
              <w:t>1</w:t>
            </w:r>
          </w:p>
        </w:tc>
        <w:tc>
          <w:tcPr>
            <w:tcW w:w="616" w:type="pct"/>
            <w:shd w:val="clear" w:color="auto" w:fill="auto"/>
            <w:vAlign w:val="center"/>
          </w:tcPr>
          <w:p w14:paraId="126174E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rPr>
              <w:t>0.01mg/L</w:t>
            </w:r>
          </w:p>
        </w:tc>
      </w:tr>
      <w:tr w14:paraId="28E4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Align w:val="center"/>
          </w:tcPr>
          <w:p w14:paraId="5F4952F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kern w:val="2"/>
                <w:sz w:val="21"/>
                <w:szCs w:val="21"/>
                <w:lang w:val="en-US" w:eastAsia="zh-CN" w:bidi="ar-SA"/>
              </w:rPr>
              <w:t>噪声</w:t>
            </w:r>
          </w:p>
        </w:tc>
        <w:tc>
          <w:tcPr>
            <w:tcW w:w="670" w:type="pct"/>
            <w:vAlign w:val="center"/>
          </w:tcPr>
          <w:p w14:paraId="439D22EA">
            <w:pPr>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eastAsiaTheme="minorEastAsia"/>
                <w:color w:val="auto"/>
                <w:kern w:val="2"/>
                <w:sz w:val="21"/>
                <w:szCs w:val="21"/>
                <w:lang w:val="en-US" w:eastAsia="zh-CN" w:bidi="ar-SA"/>
              </w:rPr>
              <w:t>Leq（A）</w:t>
            </w:r>
          </w:p>
        </w:tc>
        <w:tc>
          <w:tcPr>
            <w:tcW w:w="1530" w:type="pct"/>
            <w:vAlign w:val="center"/>
          </w:tcPr>
          <w:p w14:paraId="40994825">
            <w:pPr>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eastAsiaTheme="minorEastAsia"/>
                <w:color w:val="auto"/>
                <w:szCs w:val="21"/>
              </w:rPr>
              <w:t>工业企业厂界环境噪声排放标准</w:t>
            </w:r>
          </w:p>
        </w:tc>
        <w:tc>
          <w:tcPr>
            <w:tcW w:w="663" w:type="pct"/>
            <w:vAlign w:val="center"/>
          </w:tcPr>
          <w:p w14:paraId="6420EB1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eastAsiaTheme="minorEastAsia"/>
                <w:color w:val="auto"/>
                <w:szCs w:val="21"/>
              </w:rPr>
              <w:t>GB</w:t>
            </w:r>
            <w:r>
              <w:rPr>
                <w:rFonts w:hint="default" w:ascii="Times New Roman" w:hAnsi="Times New Roman" w:cs="Times New Roman" w:eastAsiaTheme="minorEastAsia"/>
                <w:color w:val="auto"/>
                <w:szCs w:val="21"/>
                <w:lang w:val="en-US" w:eastAsia="zh-CN"/>
              </w:rPr>
              <w:t xml:space="preserve"> </w:t>
            </w:r>
            <w:r>
              <w:rPr>
                <w:rFonts w:hint="default" w:ascii="Times New Roman" w:hAnsi="Times New Roman" w:cs="Times New Roman" w:eastAsiaTheme="minorEastAsia"/>
                <w:color w:val="auto"/>
                <w:szCs w:val="21"/>
              </w:rPr>
              <w:t>12348-2008</w:t>
            </w:r>
          </w:p>
        </w:tc>
        <w:tc>
          <w:tcPr>
            <w:tcW w:w="1084" w:type="pct"/>
            <w:vAlign w:val="center"/>
          </w:tcPr>
          <w:p w14:paraId="5572F818">
            <w:pPr>
              <w:jc w:val="center"/>
              <w:rPr>
                <w:rFonts w:hint="default" w:ascii="Times New Roman" w:hAnsi="Times New Roman" w:eastAsia="宋体" w:cs="Times New Roman"/>
                <w:b w:val="0"/>
                <w:i w:val="0"/>
                <w:color w:val="auto"/>
                <w:kern w:val="0"/>
                <w:sz w:val="21"/>
                <w:szCs w:val="21"/>
                <w:u w:val="none"/>
                <w:lang w:val="en-US" w:eastAsia="zh-CN" w:bidi="ar"/>
              </w:rPr>
            </w:pPr>
            <w:r>
              <w:rPr>
                <w:rFonts w:hint="default" w:ascii="Times New Roman" w:hAnsi="Times New Roman" w:cs="Times New Roman"/>
                <w:color w:val="auto"/>
                <w:lang w:val="en-US" w:eastAsia="zh-CN"/>
              </w:rPr>
              <w:t>多功能声级SDTZA11-0</w:t>
            </w:r>
            <w:r>
              <w:rPr>
                <w:rFonts w:hint="eastAsia" w:cs="Times New Roman"/>
                <w:color w:val="auto"/>
                <w:lang w:val="en-US" w:eastAsia="zh-CN"/>
              </w:rPr>
              <w:t>05</w:t>
            </w:r>
          </w:p>
        </w:tc>
        <w:tc>
          <w:tcPr>
            <w:tcW w:w="616" w:type="pct"/>
            <w:vAlign w:val="center"/>
          </w:tcPr>
          <w:p w14:paraId="3A9DA6FB">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Cs w:val="21"/>
                <w:lang w:val="en-US" w:eastAsia="zh-CN"/>
              </w:rPr>
              <w:t>/</w:t>
            </w:r>
          </w:p>
        </w:tc>
      </w:tr>
    </w:tbl>
    <w:p w14:paraId="21170056">
      <w:pPr>
        <w:pStyle w:val="3"/>
        <w:spacing w:after="0" w:line="360" w:lineRule="auto"/>
        <w:ind w:left="0" w:firstLine="480" w:firstLineChars="200"/>
        <w:rPr>
          <w:rFonts w:hint="default" w:ascii="Times New Roman" w:hAnsi="Times New Roman" w:cs="Times New Roman"/>
          <w:color w:val="auto"/>
          <w:sz w:val="24"/>
          <w:szCs w:val="28"/>
        </w:rPr>
      </w:pPr>
      <w:r>
        <w:rPr>
          <w:rFonts w:hint="default" w:ascii="Times New Roman" w:hAnsi="Times New Roman" w:cs="Times New Roman"/>
          <w:color w:val="000000"/>
          <w:sz w:val="24"/>
          <w:szCs w:val="28"/>
          <w:highlight w:val="none"/>
        </w:rPr>
        <w:t>3</w:t>
      </w:r>
      <w:r>
        <w:rPr>
          <w:rFonts w:hint="default" w:ascii="Times New Roman" w:hAnsi="Times New Roman" w:cs="Times New Roman"/>
          <w:color w:val="auto"/>
          <w:sz w:val="24"/>
          <w:szCs w:val="28"/>
          <w:highlight w:val="none"/>
        </w:rPr>
        <w:t>、监测时间与频次</w:t>
      </w:r>
    </w:p>
    <w:p w14:paraId="7B714578">
      <w:pPr>
        <w:pStyle w:val="3"/>
        <w:spacing w:after="0" w:line="360" w:lineRule="auto"/>
        <w:ind w:left="0" w:firstLine="480" w:firstLineChars="200"/>
        <w:rPr>
          <w:rFonts w:hint="default" w:ascii="Times New Roman" w:hAnsi="Times New Roman" w:cs="Times New Roman"/>
          <w:color w:val="000000"/>
          <w:sz w:val="24"/>
          <w:szCs w:val="28"/>
        </w:rPr>
      </w:pPr>
      <w:bookmarkStart w:id="42" w:name="_Toc23181"/>
      <w:bookmarkStart w:id="43" w:name="_Toc25091"/>
      <w:r>
        <w:rPr>
          <w:rFonts w:hint="default" w:ascii="Times New Roman" w:hAnsi="Times New Roman" w:cs="Times New Roman"/>
          <w:color w:val="auto"/>
          <w:sz w:val="24"/>
          <w:szCs w:val="28"/>
        </w:rPr>
        <w:t>202</w:t>
      </w:r>
      <w:r>
        <w:rPr>
          <w:rFonts w:hint="eastAsia" w:cs="Times New Roman"/>
          <w:color w:val="auto"/>
          <w:sz w:val="24"/>
          <w:szCs w:val="28"/>
          <w:lang w:val="en-US" w:eastAsia="zh-CN"/>
        </w:rPr>
        <w:t>4</w:t>
      </w:r>
      <w:r>
        <w:rPr>
          <w:rFonts w:hint="default" w:ascii="Times New Roman" w:hAnsi="Times New Roman" w:cs="Times New Roman"/>
          <w:color w:val="auto"/>
          <w:sz w:val="24"/>
          <w:szCs w:val="28"/>
        </w:rPr>
        <w:t>年</w:t>
      </w:r>
      <w:r>
        <w:rPr>
          <w:rFonts w:hint="eastAsia" w:cs="Times New Roman"/>
          <w:color w:val="auto"/>
          <w:sz w:val="24"/>
          <w:szCs w:val="28"/>
          <w:lang w:val="en-US" w:eastAsia="zh-CN"/>
        </w:rPr>
        <w:t>11</w:t>
      </w:r>
      <w:r>
        <w:rPr>
          <w:rFonts w:hint="default" w:ascii="Times New Roman" w:hAnsi="Times New Roman" w:cs="Times New Roman"/>
          <w:color w:val="auto"/>
          <w:sz w:val="24"/>
          <w:szCs w:val="28"/>
        </w:rPr>
        <w:t>月</w:t>
      </w:r>
      <w:r>
        <w:rPr>
          <w:rFonts w:hint="eastAsia" w:cs="Times New Roman"/>
          <w:color w:val="auto"/>
          <w:sz w:val="24"/>
          <w:szCs w:val="28"/>
          <w:lang w:val="en-US" w:eastAsia="zh-CN"/>
        </w:rPr>
        <w:t>25</w:t>
      </w:r>
      <w:r>
        <w:rPr>
          <w:rFonts w:hint="default" w:ascii="Times New Roman" w:hAnsi="Times New Roman" w:cs="Times New Roman"/>
          <w:color w:val="auto"/>
          <w:sz w:val="24"/>
          <w:szCs w:val="28"/>
        </w:rPr>
        <w:t>日~</w:t>
      </w:r>
      <w:r>
        <w:rPr>
          <w:rFonts w:hint="eastAsia" w:cs="Times New Roman"/>
          <w:color w:val="auto"/>
          <w:sz w:val="24"/>
          <w:szCs w:val="28"/>
          <w:lang w:val="en-US" w:eastAsia="zh-CN"/>
        </w:rPr>
        <w:t>11</w:t>
      </w:r>
      <w:r>
        <w:rPr>
          <w:rFonts w:hint="default" w:ascii="Times New Roman" w:hAnsi="Times New Roman" w:cs="Times New Roman"/>
          <w:color w:val="auto"/>
          <w:sz w:val="24"/>
          <w:szCs w:val="28"/>
        </w:rPr>
        <w:t>月</w:t>
      </w:r>
      <w:r>
        <w:rPr>
          <w:rFonts w:hint="eastAsia" w:cs="Times New Roman"/>
          <w:color w:val="auto"/>
          <w:sz w:val="24"/>
          <w:szCs w:val="28"/>
          <w:lang w:val="en-US" w:eastAsia="zh-CN"/>
        </w:rPr>
        <w:t>26</w:t>
      </w:r>
      <w:r>
        <w:rPr>
          <w:rFonts w:hint="default" w:ascii="Times New Roman" w:hAnsi="Times New Roman" w:cs="Times New Roman"/>
          <w:color w:val="auto"/>
          <w:sz w:val="24"/>
          <w:szCs w:val="28"/>
        </w:rPr>
        <w:t>日连</w:t>
      </w:r>
      <w:r>
        <w:rPr>
          <w:rFonts w:hint="default" w:ascii="Times New Roman" w:hAnsi="Times New Roman" w:cs="Times New Roman"/>
          <w:color w:val="000000"/>
          <w:sz w:val="24"/>
          <w:szCs w:val="28"/>
        </w:rPr>
        <w:t>续监测</w:t>
      </w:r>
      <w:r>
        <w:rPr>
          <w:rFonts w:hint="eastAsia" w:cs="Times New Roman"/>
          <w:color w:val="000000"/>
          <w:sz w:val="24"/>
          <w:szCs w:val="28"/>
          <w:lang w:val="en-US" w:eastAsia="zh-CN"/>
        </w:rPr>
        <w:t>2</w:t>
      </w:r>
      <w:r>
        <w:rPr>
          <w:rFonts w:hint="default" w:ascii="Times New Roman" w:hAnsi="Times New Roman" w:cs="Times New Roman"/>
          <w:color w:val="000000"/>
          <w:sz w:val="24"/>
          <w:szCs w:val="28"/>
        </w:rPr>
        <w:t>天，每天监测3次</w:t>
      </w:r>
      <w:bookmarkEnd w:id="42"/>
      <w:bookmarkEnd w:id="43"/>
    </w:p>
    <w:p w14:paraId="156A86F5">
      <w:pPr>
        <w:pStyle w:val="50"/>
        <w:spacing w:line="360" w:lineRule="auto"/>
        <w:ind w:firstLine="0" w:firstLineChars="0"/>
        <w:jc w:val="left"/>
        <w:rPr>
          <w:rFonts w:hint="eastAsia" w:ascii="Times New Roman" w:hAnsi="Times New Roman" w:eastAsia="宋体" w:cs="Times New Roman"/>
          <w:b/>
          <w:sz w:val="24"/>
          <w:szCs w:val="32"/>
          <w:lang w:val="en-US" w:eastAsia="zh-CN"/>
        </w:rPr>
      </w:pPr>
      <w:r>
        <w:rPr>
          <w:rFonts w:hint="default" w:ascii="Times New Roman" w:hAnsi="Times New Roman" w:eastAsia="宋体" w:cs="Times New Roman"/>
          <w:b/>
          <w:sz w:val="24"/>
          <w:szCs w:val="32"/>
        </w:rPr>
        <w:t>7.1.1.2无组织废气监测</w:t>
      </w:r>
      <w:r>
        <w:rPr>
          <w:rFonts w:hint="eastAsia" w:ascii="Times New Roman" w:hAnsi="Times New Roman" w:eastAsia="宋体" w:cs="Times New Roman"/>
          <w:b/>
          <w:sz w:val="24"/>
          <w:szCs w:val="32"/>
          <w:lang w:val="en-US" w:eastAsia="zh-CN"/>
        </w:rPr>
        <w:t xml:space="preserve"> </w:t>
      </w:r>
    </w:p>
    <w:p w14:paraId="06D159A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该项目产生的无组织废气污染物主要为</w:t>
      </w:r>
      <w:r>
        <w:rPr>
          <w:rFonts w:hint="eastAsia" w:cs="Times New Roman"/>
          <w:color w:val="000000"/>
          <w:sz w:val="24"/>
          <w:szCs w:val="28"/>
          <w:lang w:val="en-US" w:eastAsia="zh-CN"/>
        </w:rPr>
        <w:t>VOCs</w:t>
      </w:r>
      <w:r>
        <w:rPr>
          <w:rFonts w:hint="default" w:ascii="Times New Roman" w:hAnsi="Times New Roman" w:cs="Times New Roman"/>
          <w:color w:val="000000"/>
          <w:sz w:val="24"/>
          <w:szCs w:val="28"/>
        </w:rPr>
        <w:t>。</w:t>
      </w:r>
    </w:p>
    <w:p w14:paraId="2FEB9A2A">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1、监测点位</w:t>
      </w:r>
    </w:p>
    <w:p w14:paraId="5E195064">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根据监测期间气象条件设定，厂界上风向设置1个参照点，下风向3个监测点，</w:t>
      </w:r>
    </w:p>
    <w:p w14:paraId="40EE6BF4">
      <w:pPr>
        <w:pStyle w:val="3"/>
        <w:spacing w:after="0" w:line="360" w:lineRule="auto"/>
        <w:ind w:left="0" w:firstLine="480" w:firstLineChars="200"/>
        <w:rPr>
          <w:b/>
          <w:sz w:val="22"/>
          <w:szCs w:val="24"/>
        </w:rPr>
      </w:pPr>
      <w:r>
        <w:rPr>
          <w:rFonts w:hint="default" w:ascii="Times New Roman" w:hAnsi="Times New Roman" w:cs="Times New Roman"/>
          <w:color w:val="000000"/>
          <w:sz w:val="24"/>
          <w:szCs w:val="28"/>
        </w:rPr>
        <w:t>2、监测技术规范及使用仪器见表7-2。</w:t>
      </w:r>
    </w:p>
    <w:p w14:paraId="19DEBD13">
      <w:pPr>
        <w:pStyle w:val="3"/>
        <w:spacing w:after="0" w:line="240" w:lineRule="auto"/>
        <w:ind w:left="0"/>
        <w:jc w:val="center"/>
        <w:rPr>
          <w:rFonts w:hint="default" w:ascii="Times New Roman" w:hAnsi="Times New Roman" w:cs="Times New Roman"/>
          <w:b/>
          <w:sz w:val="22"/>
          <w:szCs w:val="24"/>
        </w:rPr>
      </w:pPr>
      <w:r>
        <w:rPr>
          <w:rFonts w:hint="default" w:ascii="Times New Roman" w:hAnsi="Times New Roman" w:cs="Times New Roman"/>
          <w:b/>
          <w:sz w:val="22"/>
          <w:szCs w:val="24"/>
        </w:rPr>
        <w:t>表7-2</w:t>
      </w:r>
      <w:r>
        <w:rPr>
          <w:rFonts w:hint="default" w:ascii="Times New Roman" w:hAnsi="Times New Roman" w:cs="Times New Roman"/>
          <w:b/>
          <w:sz w:val="22"/>
          <w:szCs w:val="24"/>
          <w:lang w:val="en-US" w:eastAsia="zh-CN"/>
        </w:rPr>
        <w:t xml:space="preserve"> </w:t>
      </w:r>
      <w:r>
        <w:rPr>
          <w:rFonts w:hint="default" w:ascii="Times New Roman" w:hAnsi="Times New Roman" w:cs="Times New Roman"/>
          <w:b/>
          <w:sz w:val="22"/>
          <w:szCs w:val="24"/>
        </w:rPr>
        <w:t xml:space="preserve">  监测项目方法</w:t>
      </w:r>
      <w:r>
        <w:rPr>
          <w:rFonts w:hint="default" w:ascii="Times New Roman" w:hAnsi="Times New Roman" w:cs="Times New Roman"/>
          <w:b/>
          <w:sz w:val="22"/>
          <w:szCs w:val="24"/>
          <w:lang w:val="en-US" w:eastAsia="zh-CN"/>
        </w:rPr>
        <w:t>及使用仪器</w:t>
      </w:r>
      <w:r>
        <w:rPr>
          <w:rFonts w:hint="default" w:ascii="Times New Roman" w:hAnsi="Times New Roman" w:cs="Times New Roman"/>
          <w:b/>
          <w:sz w:val="22"/>
          <w:szCs w:val="24"/>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261"/>
        <w:gridCol w:w="2859"/>
        <w:gridCol w:w="1230"/>
        <w:gridCol w:w="2029"/>
        <w:gridCol w:w="1080"/>
      </w:tblGrid>
      <w:tr w14:paraId="641A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06" w:type="dxa"/>
            <w:vAlign w:val="center"/>
          </w:tcPr>
          <w:p w14:paraId="37E3D625">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样品</w:t>
            </w:r>
          </w:p>
          <w:p w14:paraId="008FC44B">
            <w:pPr>
              <w:jc w:val="center"/>
              <w:rPr>
                <w:rFonts w:hint="default" w:ascii="Times New Roman" w:hAnsi="Times New Roman" w:cs="Times New Roman"/>
                <w:bCs/>
                <w:color w:val="000000" w:themeColor="text1"/>
                <w:szCs w:val="21"/>
                <w:lang w:eastAsia="zh-CN"/>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类别</w:t>
            </w:r>
          </w:p>
        </w:tc>
        <w:tc>
          <w:tcPr>
            <w:tcW w:w="1244" w:type="dxa"/>
            <w:shd w:val="clear" w:color="auto" w:fill="auto"/>
            <w:vAlign w:val="center"/>
          </w:tcPr>
          <w:p w14:paraId="765D1A01">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检测</w:t>
            </w:r>
          </w:p>
          <w:p w14:paraId="3D71E928">
            <w:pPr>
              <w:jc w:val="center"/>
              <w:rPr>
                <w:rFonts w:hint="default"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bCs w:val="0"/>
                <w:color w:val="000000" w:themeColor="text1"/>
                <w:szCs w:val="21"/>
                <w14:textFill>
                  <w14:solidFill>
                    <w14:schemeClr w14:val="tx1"/>
                  </w14:solidFill>
                </w14:textFill>
              </w:rPr>
              <w:t>项目</w:t>
            </w:r>
          </w:p>
        </w:tc>
        <w:tc>
          <w:tcPr>
            <w:tcW w:w="2842" w:type="dxa"/>
            <w:shd w:val="clear" w:color="auto" w:fill="auto"/>
            <w:vAlign w:val="center"/>
          </w:tcPr>
          <w:p w14:paraId="2674E2DF">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bCs w:val="0"/>
                <w:color w:val="000000" w:themeColor="text1"/>
                <w:szCs w:val="21"/>
                <w14:textFill>
                  <w14:solidFill>
                    <w14:schemeClr w14:val="tx1"/>
                  </w14:solidFill>
                </w14:textFill>
              </w:rPr>
              <w:t>检测方法</w:t>
            </w:r>
          </w:p>
        </w:tc>
        <w:tc>
          <w:tcPr>
            <w:tcW w:w="1232" w:type="dxa"/>
            <w:shd w:val="clear" w:color="auto" w:fill="auto"/>
            <w:vAlign w:val="center"/>
          </w:tcPr>
          <w:p w14:paraId="1CE4D428">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b/>
                <w:bCs w:val="0"/>
                <w:color w:val="000000" w:themeColor="text1"/>
                <w:szCs w:val="21"/>
                <w14:textFill>
                  <w14:solidFill>
                    <w14:schemeClr w14:val="tx1"/>
                  </w14:solidFill>
                </w14:textFill>
              </w:rPr>
              <w:t>方法依据</w:t>
            </w:r>
          </w:p>
        </w:tc>
        <w:tc>
          <w:tcPr>
            <w:tcW w:w="2013" w:type="dxa"/>
            <w:shd w:val="clear" w:color="auto" w:fill="auto"/>
            <w:vAlign w:val="center"/>
          </w:tcPr>
          <w:p w14:paraId="63E1DBC1">
            <w:pPr>
              <w:jc w:val="center"/>
              <w:rPr>
                <w:rFonts w:hint="default" w:ascii="Times New Roman" w:hAnsi="Times New Roman" w:cs="Times New Roman"/>
                <w:bCs/>
                <w:color w:val="auto"/>
                <w:kern w:val="0"/>
                <w:szCs w:val="21"/>
                <w:lang w:eastAsia="zh-CN"/>
              </w:rPr>
            </w:pPr>
            <w:r>
              <w:rPr>
                <w:rFonts w:hint="default" w:ascii="Times New Roman" w:hAnsi="Times New Roman" w:cs="Times New Roman"/>
                <w:b/>
                <w:bCs w:val="0"/>
                <w:color w:val="000000" w:themeColor="text1"/>
                <w:szCs w:val="21"/>
                <w14:textFill>
                  <w14:solidFill>
                    <w14:schemeClr w14:val="tx1"/>
                  </w14:solidFill>
                </w14:textFill>
              </w:rPr>
              <w:t>仪器设备及编号</w:t>
            </w:r>
          </w:p>
        </w:tc>
        <w:tc>
          <w:tcPr>
            <w:tcW w:w="1145" w:type="dxa"/>
            <w:shd w:val="clear" w:color="auto" w:fill="auto"/>
            <w:vAlign w:val="center"/>
          </w:tcPr>
          <w:p w14:paraId="49FD60C7">
            <w:pPr>
              <w:jc w:val="center"/>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000000" w:themeColor="text1"/>
                <w:szCs w:val="21"/>
                <w14:textFill>
                  <w14:solidFill>
                    <w14:schemeClr w14:val="tx1"/>
                  </w14:solidFill>
                </w14:textFill>
              </w:rPr>
              <w:t>检出限</w:t>
            </w:r>
          </w:p>
        </w:tc>
      </w:tr>
      <w:tr w14:paraId="596A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vAlign w:val="center"/>
          </w:tcPr>
          <w:p w14:paraId="3D10E3F9">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无组织废气</w:t>
            </w:r>
          </w:p>
        </w:tc>
        <w:tc>
          <w:tcPr>
            <w:tcW w:w="679" w:type="pct"/>
            <w:shd w:val="clear" w:color="auto" w:fill="auto"/>
            <w:vAlign w:val="center"/>
          </w:tcPr>
          <w:p w14:paraId="69B2CE84">
            <w:pPr>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kern w:val="2"/>
                <w:sz w:val="21"/>
                <w:szCs w:val="21"/>
                <w:highlight w:val="none"/>
                <w:lang w:val="en-US" w:eastAsia="zh-CN" w:bidi="ar-SA"/>
              </w:rPr>
              <w:t>挥发性有机物（VOCs）</w:t>
            </w:r>
          </w:p>
        </w:tc>
        <w:tc>
          <w:tcPr>
            <w:tcW w:w="1539" w:type="pct"/>
            <w:shd w:val="clear" w:color="auto" w:fill="auto"/>
            <w:vAlign w:val="center"/>
          </w:tcPr>
          <w:p w14:paraId="6D5461A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环境空气 挥发性有机物的测定 吸附管采样-热脱附/气相色谱-质谱法</w:t>
            </w:r>
          </w:p>
        </w:tc>
        <w:tc>
          <w:tcPr>
            <w:tcW w:w="662" w:type="pct"/>
            <w:shd w:val="clear" w:color="auto" w:fill="auto"/>
            <w:vAlign w:val="center"/>
          </w:tcPr>
          <w:p w14:paraId="3408196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eastAsia="zh-CN"/>
              </w:rPr>
              <w:t>HJ 644-2013</w:t>
            </w:r>
          </w:p>
        </w:tc>
        <w:tc>
          <w:tcPr>
            <w:tcW w:w="1092" w:type="pct"/>
            <w:shd w:val="clear" w:color="auto" w:fill="auto"/>
            <w:vAlign w:val="center"/>
          </w:tcPr>
          <w:p w14:paraId="2CDA8C7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lang w:eastAsia="zh-CN"/>
              </w:rPr>
              <w:t>气相色谱</w:t>
            </w:r>
            <w:r>
              <w:rPr>
                <w:rFonts w:hint="eastAsia" w:cs="Times New Roman"/>
                <w:bCs/>
                <w:color w:val="auto"/>
                <w:kern w:val="0"/>
                <w:szCs w:val="21"/>
                <w:lang w:val="en-US" w:eastAsia="zh-CN"/>
              </w:rPr>
              <w:t>-质谱</w:t>
            </w:r>
            <w:r>
              <w:rPr>
                <w:rFonts w:hint="default" w:ascii="Times New Roman" w:hAnsi="Times New Roman" w:cs="Times New Roman"/>
                <w:color w:val="auto"/>
                <w:sz w:val="21"/>
                <w:szCs w:val="21"/>
              </w:rPr>
              <w:t>联用仪SDTZA2-004</w:t>
            </w:r>
          </w:p>
        </w:tc>
        <w:tc>
          <w:tcPr>
            <w:tcW w:w="581" w:type="pct"/>
            <w:shd w:val="clear" w:color="auto" w:fill="auto"/>
            <w:vAlign w:val="center"/>
          </w:tcPr>
          <w:p w14:paraId="117F55A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Cs/>
                <w:color w:val="auto"/>
                <w:szCs w:val="21"/>
                <w:lang w:val="en-US" w:eastAsia="zh-CN"/>
              </w:rPr>
              <w:t>/</w:t>
            </w:r>
          </w:p>
        </w:tc>
      </w:tr>
    </w:tbl>
    <w:p w14:paraId="78575A0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lang w:val="en-US" w:eastAsia="zh-CN"/>
        </w:rPr>
        <w:t>2</w:t>
      </w:r>
      <w:r>
        <w:rPr>
          <w:rFonts w:hint="default" w:ascii="Times New Roman" w:hAnsi="Times New Roman" w:cs="Times New Roman"/>
          <w:color w:val="000000"/>
          <w:sz w:val="24"/>
          <w:szCs w:val="28"/>
        </w:rPr>
        <w:t>、监测时间与频次</w:t>
      </w:r>
    </w:p>
    <w:p w14:paraId="48E20A0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废气</w:t>
      </w:r>
      <w:r>
        <w:rPr>
          <w:rFonts w:hint="default" w:ascii="Times New Roman" w:hAnsi="Times New Roman" w:cs="Times New Roman"/>
          <w:color w:val="auto"/>
          <w:sz w:val="24"/>
          <w:szCs w:val="28"/>
        </w:rPr>
        <w:t>于</w:t>
      </w:r>
      <w:r>
        <w:rPr>
          <w:rFonts w:hint="default" w:ascii="Times New Roman" w:hAnsi="Times New Roman" w:cs="Times New Roman"/>
          <w:color w:val="000000"/>
          <w:sz w:val="24"/>
          <w:szCs w:val="28"/>
        </w:rPr>
        <w:t>202</w:t>
      </w:r>
      <w:r>
        <w:rPr>
          <w:rFonts w:hint="eastAsia" w:cs="Times New Roman"/>
          <w:color w:val="000000"/>
          <w:sz w:val="24"/>
          <w:szCs w:val="28"/>
          <w:lang w:val="en-US" w:eastAsia="zh-CN"/>
        </w:rPr>
        <w:t>4</w:t>
      </w:r>
      <w:r>
        <w:rPr>
          <w:rFonts w:hint="default" w:ascii="Times New Roman" w:hAnsi="Times New Roman" w:cs="Times New Roman"/>
          <w:color w:val="000000"/>
          <w:sz w:val="24"/>
          <w:szCs w:val="28"/>
        </w:rPr>
        <w:t>年</w:t>
      </w:r>
      <w:r>
        <w:rPr>
          <w:rFonts w:hint="eastAsia" w:cs="Times New Roman"/>
          <w:color w:val="000000"/>
          <w:sz w:val="24"/>
          <w:szCs w:val="28"/>
          <w:lang w:val="en-US" w:eastAsia="zh-CN"/>
        </w:rPr>
        <w:t>11</w:t>
      </w:r>
      <w:r>
        <w:rPr>
          <w:rFonts w:hint="default" w:ascii="Times New Roman" w:hAnsi="Times New Roman" w:cs="Times New Roman"/>
          <w:color w:val="000000"/>
          <w:sz w:val="24"/>
          <w:szCs w:val="28"/>
        </w:rPr>
        <w:t>月</w:t>
      </w:r>
      <w:r>
        <w:rPr>
          <w:rFonts w:hint="eastAsia" w:cs="Times New Roman"/>
          <w:color w:val="000000"/>
          <w:sz w:val="24"/>
          <w:szCs w:val="28"/>
          <w:lang w:val="en-US" w:eastAsia="zh-CN"/>
        </w:rPr>
        <w:t>25</w:t>
      </w:r>
      <w:r>
        <w:rPr>
          <w:rFonts w:hint="default" w:ascii="Times New Roman" w:hAnsi="Times New Roman" w:cs="Times New Roman"/>
          <w:color w:val="000000"/>
          <w:sz w:val="24"/>
          <w:szCs w:val="28"/>
        </w:rPr>
        <w:t>日~</w:t>
      </w:r>
      <w:r>
        <w:rPr>
          <w:rFonts w:hint="eastAsia" w:cs="Times New Roman"/>
          <w:color w:val="000000"/>
          <w:sz w:val="24"/>
          <w:szCs w:val="28"/>
          <w:lang w:val="en-US" w:eastAsia="zh-CN"/>
        </w:rPr>
        <w:t>11</w:t>
      </w:r>
      <w:r>
        <w:rPr>
          <w:rFonts w:hint="default" w:ascii="Times New Roman" w:hAnsi="Times New Roman" w:cs="Times New Roman"/>
          <w:color w:val="000000"/>
          <w:sz w:val="24"/>
          <w:szCs w:val="28"/>
        </w:rPr>
        <w:t>月</w:t>
      </w:r>
      <w:r>
        <w:rPr>
          <w:rFonts w:hint="eastAsia" w:cs="Times New Roman"/>
          <w:color w:val="000000"/>
          <w:sz w:val="24"/>
          <w:szCs w:val="28"/>
          <w:lang w:val="en-US" w:eastAsia="zh-CN"/>
        </w:rPr>
        <w:t>26</w:t>
      </w:r>
      <w:r>
        <w:rPr>
          <w:rFonts w:hint="default" w:ascii="Times New Roman" w:hAnsi="Times New Roman" w:cs="Times New Roman"/>
          <w:color w:val="000000"/>
          <w:sz w:val="24"/>
          <w:szCs w:val="28"/>
        </w:rPr>
        <w:t>日连续监测</w:t>
      </w:r>
      <w:r>
        <w:rPr>
          <w:rFonts w:hint="eastAsia" w:cs="Times New Roman"/>
          <w:color w:val="000000"/>
          <w:sz w:val="24"/>
          <w:szCs w:val="28"/>
          <w:lang w:val="en-US" w:eastAsia="zh-CN"/>
        </w:rPr>
        <w:t>2</w:t>
      </w:r>
      <w:r>
        <w:rPr>
          <w:rFonts w:hint="default" w:ascii="Times New Roman" w:hAnsi="Times New Roman" w:cs="Times New Roman"/>
          <w:color w:val="000000"/>
          <w:sz w:val="24"/>
          <w:szCs w:val="28"/>
        </w:rPr>
        <w:t>天，每天昼间各监测3次。</w:t>
      </w:r>
    </w:p>
    <w:p w14:paraId="00C75578">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7.1.2噪声监测</w:t>
      </w:r>
    </w:p>
    <w:p w14:paraId="11E153D8">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1、监测点位</w:t>
      </w:r>
    </w:p>
    <w:p w14:paraId="4F0E1192">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在项目区厂界最大噪声处各布设4个厂界噪声监测点位。</w:t>
      </w:r>
    </w:p>
    <w:p w14:paraId="7D8A92D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2、监测技术规范及使用仪器</w:t>
      </w:r>
    </w:p>
    <w:p w14:paraId="25E1F514">
      <w:pPr>
        <w:pStyle w:val="3"/>
        <w:spacing w:after="0" w:line="360" w:lineRule="auto"/>
        <w:ind w:left="0" w:firstLine="480" w:firstLineChars="200"/>
        <w:rPr>
          <w:rFonts w:hint="default" w:ascii="Times New Roman" w:hAnsi="Times New Roman" w:cs="Times New Roman"/>
          <w:b/>
          <w:sz w:val="22"/>
          <w:szCs w:val="24"/>
        </w:rPr>
      </w:pPr>
      <w:r>
        <w:rPr>
          <w:rFonts w:hint="default" w:ascii="Times New Roman" w:hAnsi="Times New Roman" w:cs="Times New Roman"/>
          <w:color w:val="000000"/>
          <w:sz w:val="24"/>
          <w:szCs w:val="28"/>
        </w:rPr>
        <w:t>监测技术规范及使用仪器见表7-</w:t>
      </w:r>
      <w:r>
        <w:rPr>
          <w:rFonts w:hint="eastAsia" w:cs="Times New Roman"/>
          <w:color w:val="000000"/>
          <w:sz w:val="24"/>
          <w:szCs w:val="28"/>
          <w:lang w:val="en-US" w:eastAsia="zh-CN"/>
        </w:rPr>
        <w:t>3</w:t>
      </w:r>
      <w:r>
        <w:rPr>
          <w:rFonts w:hint="default" w:ascii="Times New Roman" w:hAnsi="Times New Roman" w:cs="Times New Roman"/>
          <w:color w:val="000000"/>
          <w:sz w:val="24"/>
          <w:szCs w:val="28"/>
        </w:rPr>
        <w:t>。</w:t>
      </w:r>
    </w:p>
    <w:p w14:paraId="01D6B233">
      <w:pPr>
        <w:pStyle w:val="3"/>
        <w:spacing w:after="0" w:line="24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cs="Times New Roman"/>
          <w:b/>
          <w:sz w:val="22"/>
          <w:szCs w:val="24"/>
        </w:rPr>
        <w:t>表7-</w:t>
      </w:r>
      <w:r>
        <w:rPr>
          <w:rFonts w:hint="eastAsia" w:cs="Times New Roman"/>
          <w:b/>
          <w:sz w:val="22"/>
          <w:szCs w:val="24"/>
          <w:lang w:val="en-US" w:eastAsia="zh-CN"/>
        </w:rPr>
        <w:t>3</w:t>
      </w:r>
      <w:r>
        <w:rPr>
          <w:rFonts w:hint="default" w:ascii="Times New Roman" w:hAnsi="Times New Roman" w:cs="Times New Roman"/>
          <w:b/>
          <w:sz w:val="22"/>
          <w:szCs w:val="24"/>
        </w:rPr>
        <w:t xml:space="preserve">  监测项目方法及仪器</w:t>
      </w:r>
      <w:r>
        <w:rPr>
          <w:rFonts w:hint="default" w:ascii="Times New Roman" w:hAnsi="Times New Roman" w:cs="Times New Roman"/>
          <w:b/>
          <w:sz w:val="22"/>
          <w:szCs w:val="24"/>
          <w:lang w:val="en-US" w:eastAsia="zh-CN"/>
        </w:rPr>
        <w:t>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328"/>
        <w:gridCol w:w="2278"/>
        <w:gridCol w:w="1525"/>
        <w:gridCol w:w="2274"/>
        <w:gridCol w:w="892"/>
      </w:tblGrid>
      <w:tr w14:paraId="4A9C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vAlign w:val="center"/>
          </w:tcPr>
          <w:p w14:paraId="78E9581D">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类别</w:t>
            </w:r>
          </w:p>
        </w:tc>
        <w:tc>
          <w:tcPr>
            <w:tcW w:w="715" w:type="pct"/>
            <w:vAlign w:val="center"/>
          </w:tcPr>
          <w:p w14:paraId="5EB5DC28">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项目名称</w:t>
            </w:r>
          </w:p>
        </w:tc>
        <w:tc>
          <w:tcPr>
            <w:tcW w:w="1226" w:type="pct"/>
            <w:vAlign w:val="center"/>
          </w:tcPr>
          <w:p w14:paraId="4A7AD0D3">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分析方法</w:t>
            </w:r>
          </w:p>
        </w:tc>
        <w:tc>
          <w:tcPr>
            <w:tcW w:w="821" w:type="pct"/>
            <w:vAlign w:val="center"/>
          </w:tcPr>
          <w:p w14:paraId="13C2C163">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方法依据</w:t>
            </w:r>
          </w:p>
        </w:tc>
        <w:tc>
          <w:tcPr>
            <w:tcW w:w="1224" w:type="pct"/>
            <w:vAlign w:val="center"/>
          </w:tcPr>
          <w:p w14:paraId="194731D8">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仪器设备、型号及编号</w:t>
            </w:r>
          </w:p>
        </w:tc>
        <w:tc>
          <w:tcPr>
            <w:tcW w:w="480" w:type="pct"/>
            <w:vAlign w:val="center"/>
          </w:tcPr>
          <w:p w14:paraId="6E32379A">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检出限</w:t>
            </w:r>
          </w:p>
        </w:tc>
      </w:tr>
      <w:tr w14:paraId="542E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vAlign w:val="center"/>
          </w:tcPr>
          <w:p w14:paraId="26A519C5">
            <w:pPr>
              <w:adjustRightInd w:val="0"/>
              <w:snapToGrid w:val="0"/>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szCs w:val="21"/>
                <w:lang w:val="en-US" w:eastAsia="zh-CN"/>
              </w:rPr>
              <w:t>噪声</w:t>
            </w:r>
          </w:p>
        </w:tc>
        <w:tc>
          <w:tcPr>
            <w:tcW w:w="715" w:type="pct"/>
            <w:vAlign w:val="center"/>
          </w:tcPr>
          <w:p w14:paraId="2C052FC1">
            <w:pPr>
              <w:jc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auto"/>
                <w:kern w:val="2"/>
                <w:sz w:val="21"/>
                <w:szCs w:val="21"/>
                <w:lang w:val="en-US" w:eastAsia="zh-CN" w:bidi="ar-SA"/>
              </w:rPr>
              <w:t>Leq（A）</w:t>
            </w:r>
          </w:p>
        </w:tc>
        <w:tc>
          <w:tcPr>
            <w:tcW w:w="1226" w:type="pct"/>
            <w:vAlign w:val="center"/>
          </w:tcPr>
          <w:p w14:paraId="523B75D9">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szCs w:val="21"/>
              </w:rPr>
              <w:t>工业企业厂界环境噪声排放标准</w:t>
            </w:r>
          </w:p>
        </w:tc>
        <w:tc>
          <w:tcPr>
            <w:tcW w:w="821" w:type="pct"/>
            <w:vAlign w:val="center"/>
          </w:tcPr>
          <w:p w14:paraId="6B2136C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w:t>
            </w:r>
          </w:p>
          <w:p w14:paraId="3CC02850">
            <w:pPr>
              <w:jc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auto"/>
                <w:szCs w:val="21"/>
              </w:rPr>
              <w:t>12348-2008</w:t>
            </w:r>
          </w:p>
        </w:tc>
        <w:tc>
          <w:tcPr>
            <w:tcW w:w="1224" w:type="pct"/>
            <w:vAlign w:val="center"/>
          </w:tcPr>
          <w:p w14:paraId="45C1DAFB">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多功能声级计</w:t>
            </w:r>
          </w:p>
          <w:p w14:paraId="5E7FDD8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SDTZA11-005</w:t>
            </w:r>
          </w:p>
        </w:tc>
        <w:tc>
          <w:tcPr>
            <w:tcW w:w="480" w:type="pct"/>
            <w:vAlign w:val="center"/>
          </w:tcPr>
          <w:p w14:paraId="32016A9C">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szCs w:val="21"/>
                <w:lang w:val="en-US" w:eastAsia="zh-CN"/>
              </w:rPr>
              <w:t>/</w:t>
            </w:r>
          </w:p>
        </w:tc>
      </w:tr>
    </w:tbl>
    <w:p w14:paraId="198F318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3、监测时间与频次</w:t>
      </w:r>
    </w:p>
    <w:p w14:paraId="2BA5377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lang w:val="en-US" w:eastAsia="zh-CN"/>
        </w:rPr>
        <w:t>噪声</w:t>
      </w:r>
      <w:r>
        <w:rPr>
          <w:rFonts w:hint="default" w:ascii="Times New Roman" w:hAnsi="Times New Roman" w:cs="Times New Roman"/>
          <w:color w:val="000000"/>
          <w:sz w:val="24"/>
          <w:szCs w:val="28"/>
        </w:rPr>
        <w:t>202</w:t>
      </w:r>
      <w:r>
        <w:rPr>
          <w:rFonts w:hint="eastAsia" w:cs="Times New Roman"/>
          <w:color w:val="000000"/>
          <w:sz w:val="24"/>
          <w:szCs w:val="28"/>
          <w:lang w:val="en-US" w:eastAsia="zh-CN"/>
        </w:rPr>
        <w:t>4</w:t>
      </w:r>
      <w:r>
        <w:rPr>
          <w:rFonts w:hint="default" w:ascii="Times New Roman" w:hAnsi="Times New Roman" w:cs="Times New Roman"/>
          <w:color w:val="000000"/>
          <w:sz w:val="24"/>
          <w:szCs w:val="28"/>
        </w:rPr>
        <w:t>年</w:t>
      </w:r>
      <w:r>
        <w:rPr>
          <w:rFonts w:hint="eastAsia" w:cs="Times New Roman"/>
          <w:color w:val="000000"/>
          <w:sz w:val="24"/>
          <w:szCs w:val="28"/>
          <w:lang w:val="en-US" w:eastAsia="zh-CN"/>
        </w:rPr>
        <w:t>11</w:t>
      </w:r>
      <w:r>
        <w:rPr>
          <w:rFonts w:hint="default" w:ascii="Times New Roman" w:hAnsi="Times New Roman" w:cs="Times New Roman"/>
          <w:color w:val="000000"/>
          <w:sz w:val="24"/>
          <w:szCs w:val="28"/>
        </w:rPr>
        <w:t>月</w:t>
      </w:r>
      <w:r>
        <w:rPr>
          <w:rFonts w:hint="eastAsia" w:cs="Times New Roman"/>
          <w:color w:val="000000"/>
          <w:sz w:val="24"/>
          <w:szCs w:val="28"/>
          <w:lang w:val="en-US" w:eastAsia="zh-CN"/>
        </w:rPr>
        <w:t>25</w:t>
      </w:r>
      <w:r>
        <w:rPr>
          <w:rFonts w:hint="default" w:ascii="Times New Roman" w:hAnsi="Times New Roman" w:cs="Times New Roman"/>
          <w:color w:val="000000"/>
          <w:sz w:val="24"/>
          <w:szCs w:val="28"/>
        </w:rPr>
        <w:t>日~</w:t>
      </w:r>
      <w:r>
        <w:rPr>
          <w:rFonts w:hint="eastAsia" w:cs="Times New Roman"/>
          <w:color w:val="000000"/>
          <w:sz w:val="24"/>
          <w:szCs w:val="28"/>
          <w:lang w:val="en-US" w:eastAsia="zh-CN"/>
        </w:rPr>
        <w:t>11</w:t>
      </w:r>
      <w:r>
        <w:rPr>
          <w:rFonts w:hint="default" w:ascii="Times New Roman" w:hAnsi="Times New Roman" w:cs="Times New Roman"/>
          <w:color w:val="000000"/>
          <w:sz w:val="24"/>
          <w:szCs w:val="28"/>
        </w:rPr>
        <w:t>月</w:t>
      </w:r>
      <w:r>
        <w:rPr>
          <w:rFonts w:hint="eastAsia" w:cs="Times New Roman"/>
          <w:color w:val="000000"/>
          <w:sz w:val="24"/>
          <w:szCs w:val="28"/>
          <w:lang w:val="en-US" w:eastAsia="zh-CN"/>
        </w:rPr>
        <w:t>26</w:t>
      </w:r>
      <w:r>
        <w:rPr>
          <w:rFonts w:hint="default" w:ascii="Times New Roman" w:hAnsi="Times New Roman" w:cs="Times New Roman"/>
          <w:color w:val="000000"/>
          <w:sz w:val="24"/>
          <w:szCs w:val="28"/>
        </w:rPr>
        <w:t>日连续监测2天，每天昼监测</w:t>
      </w:r>
      <w:r>
        <w:rPr>
          <w:rFonts w:hint="default" w:ascii="Times New Roman" w:hAnsi="Times New Roman" w:cs="Times New Roman"/>
          <w:color w:val="000000"/>
          <w:sz w:val="24"/>
          <w:szCs w:val="28"/>
          <w:lang w:val="en-US" w:eastAsia="zh-CN"/>
        </w:rPr>
        <w:t>4</w:t>
      </w:r>
      <w:r>
        <w:rPr>
          <w:rFonts w:hint="default" w:ascii="Times New Roman" w:hAnsi="Times New Roman" w:cs="Times New Roman"/>
          <w:color w:val="000000"/>
          <w:sz w:val="24"/>
          <w:szCs w:val="28"/>
        </w:rPr>
        <w:t>次。</w:t>
      </w:r>
    </w:p>
    <w:p w14:paraId="316FF53A">
      <w:pPr>
        <w:pStyle w:val="50"/>
        <w:spacing w:line="360" w:lineRule="auto"/>
        <w:ind w:firstLine="0" w:firstLineChars="0"/>
        <w:jc w:val="left"/>
        <w:rPr>
          <w:rFonts w:hint="default" w:ascii="Times New Roman" w:hAnsi="Times New Roman" w:eastAsia="宋体" w:cs="Times New Roman"/>
          <w:b/>
          <w:sz w:val="24"/>
          <w:szCs w:val="32"/>
          <w:lang w:val="en-US" w:eastAsia="zh-CN"/>
        </w:rPr>
      </w:pPr>
      <w:bookmarkStart w:id="44" w:name="_Toc10571"/>
      <w:r>
        <w:rPr>
          <w:rFonts w:hint="eastAsia" w:ascii="Times New Roman" w:hAnsi="Times New Roman" w:eastAsia="宋体" w:cs="Times New Roman"/>
          <w:b/>
          <w:sz w:val="24"/>
          <w:szCs w:val="32"/>
          <w:lang w:val="en-US" w:eastAsia="zh-CN"/>
        </w:rPr>
        <w:t>7.1.3废水监测</w:t>
      </w:r>
    </w:p>
    <w:p w14:paraId="3D8A7A6A">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1、监测点位</w:t>
      </w:r>
    </w:p>
    <w:p w14:paraId="3F4B1D1D">
      <w:pPr>
        <w:pStyle w:val="3"/>
        <w:spacing w:after="0" w:line="360" w:lineRule="auto"/>
        <w:ind w:lef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在项目</w:t>
      </w:r>
      <w:r>
        <w:rPr>
          <w:rFonts w:hint="eastAsia" w:ascii="Times New Roman" w:hAnsi="Times New Roman" w:cs="Times New Roman"/>
          <w:sz w:val="24"/>
          <w:szCs w:val="28"/>
          <w:lang w:val="en-US" w:eastAsia="zh-CN"/>
        </w:rPr>
        <w:t>污水处理站的进出口</w:t>
      </w:r>
      <w:r>
        <w:rPr>
          <w:rFonts w:hint="default" w:ascii="Times New Roman" w:hAnsi="Times New Roman" w:cs="Times New Roman"/>
          <w:sz w:val="24"/>
          <w:szCs w:val="28"/>
        </w:rPr>
        <w:t>。</w:t>
      </w:r>
    </w:p>
    <w:p w14:paraId="34057E69">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2、监测技术规范及使用仪器</w:t>
      </w:r>
    </w:p>
    <w:p w14:paraId="416EBEDD">
      <w:pPr>
        <w:pStyle w:val="3"/>
        <w:spacing w:after="0" w:line="360" w:lineRule="auto"/>
        <w:ind w:left="0" w:firstLine="480" w:firstLineChars="200"/>
        <w:rPr>
          <w:rFonts w:hint="default" w:ascii="Times New Roman" w:hAnsi="Times New Roman" w:cs="Times New Roman"/>
          <w:b/>
          <w:sz w:val="22"/>
          <w:szCs w:val="24"/>
        </w:rPr>
      </w:pPr>
      <w:r>
        <w:rPr>
          <w:rFonts w:hint="default" w:ascii="Times New Roman" w:hAnsi="Times New Roman" w:cs="Times New Roman"/>
          <w:color w:val="000000"/>
          <w:sz w:val="24"/>
          <w:szCs w:val="28"/>
        </w:rPr>
        <w:t>监测技术规范及使用仪器见表7-</w:t>
      </w:r>
      <w:r>
        <w:rPr>
          <w:rFonts w:hint="eastAsia" w:cs="Times New Roman"/>
          <w:color w:val="000000"/>
          <w:sz w:val="24"/>
          <w:szCs w:val="28"/>
          <w:lang w:val="en-US" w:eastAsia="zh-CN"/>
        </w:rPr>
        <w:t>4</w:t>
      </w:r>
      <w:r>
        <w:rPr>
          <w:rFonts w:hint="default" w:ascii="Times New Roman" w:hAnsi="Times New Roman" w:cs="Times New Roman"/>
          <w:color w:val="000000"/>
          <w:sz w:val="24"/>
          <w:szCs w:val="28"/>
        </w:rPr>
        <w:t>。</w:t>
      </w:r>
    </w:p>
    <w:p w14:paraId="445E1D7F">
      <w:pPr>
        <w:pStyle w:val="3"/>
        <w:spacing w:after="0" w:line="24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cs="Times New Roman"/>
          <w:b/>
          <w:sz w:val="22"/>
          <w:szCs w:val="24"/>
        </w:rPr>
        <w:t>表7-</w:t>
      </w:r>
      <w:r>
        <w:rPr>
          <w:rFonts w:hint="eastAsia" w:cs="Times New Roman"/>
          <w:b/>
          <w:sz w:val="22"/>
          <w:szCs w:val="24"/>
          <w:lang w:val="en-US" w:eastAsia="zh-CN"/>
        </w:rPr>
        <w:t>4</w:t>
      </w:r>
      <w:r>
        <w:rPr>
          <w:rFonts w:hint="default" w:ascii="Times New Roman" w:hAnsi="Times New Roman" w:cs="Times New Roman"/>
          <w:b/>
          <w:sz w:val="22"/>
          <w:szCs w:val="24"/>
        </w:rPr>
        <w:t xml:space="preserve">  监测项目方法及仪器</w:t>
      </w:r>
      <w:r>
        <w:rPr>
          <w:rFonts w:hint="default" w:ascii="Times New Roman" w:hAnsi="Times New Roman" w:cs="Times New Roman"/>
          <w:b/>
          <w:sz w:val="22"/>
          <w:szCs w:val="24"/>
          <w:lang w:val="en-US" w:eastAsia="zh-CN"/>
        </w:rPr>
        <w:t>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244"/>
        <w:gridCol w:w="2843"/>
        <w:gridCol w:w="1231"/>
        <w:gridCol w:w="2013"/>
        <w:gridCol w:w="1145"/>
      </w:tblGrid>
      <w:tr w14:paraId="184B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Align w:val="center"/>
          </w:tcPr>
          <w:p w14:paraId="767385CE">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样品</w:t>
            </w:r>
          </w:p>
          <w:p w14:paraId="4434B0A3">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类别</w:t>
            </w:r>
          </w:p>
        </w:tc>
        <w:tc>
          <w:tcPr>
            <w:tcW w:w="670" w:type="pct"/>
            <w:vAlign w:val="center"/>
          </w:tcPr>
          <w:p w14:paraId="420355AE">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检测</w:t>
            </w:r>
          </w:p>
          <w:p w14:paraId="0B8B6F9E">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项目</w:t>
            </w:r>
          </w:p>
        </w:tc>
        <w:tc>
          <w:tcPr>
            <w:tcW w:w="1531" w:type="pct"/>
            <w:vAlign w:val="center"/>
          </w:tcPr>
          <w:p w14:paraId="4157C82C">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检测方法</w:t>
            </w:r>
          </w:p>
        </w:tc>
        <w:tc>
          <w:tcPr>
            <w:tcW w:w="663" w:type="pct"/>
            <w:vAlign w:val="center"/>
          </w:tcPr>
          <w:p w14:paraId="015EC045">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方法依据</w:t>
            </w:r>
          </w:p>
        </w:tc>
        <w:tc>
          <w:tcPr>
            <w:tcW w:w="1084" w:type="pct"/>
            <w:vAlign w:val="center"/>
          </w:tcPr>
          <w:p w14:paraId="3B4025FF">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仪器设备及编号</w:t>
            </w:r>
          </w:p>
        </w:tc>
        <w:tc>
          <w:tcPr>
            <w:tcW w:w="616" w:type="pct"/>
            <w:vAlign w:val="center"/>
          </w:tcPr>
          <w:p w14:paraId="7195CC2E">
            <w:pPr>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检出限</w:t>
            </w:r>
          </w:p>
        </w:tc>
      </w:tr>
      <w:tr w14:paraId="08B7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restart"/>
            <w:shd w:val="clear" w:color="auto" w:fill="auto"/>
            <w:vAlign w:val="center"/>
          </w:tcPr>
          <w:p w14:paraId="259970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废水</w:t>
            </w:r>
          </w:p>
          <w:p w14:paraId="6A8E8ADA">
            <w:pPr>
              <w:jc w:val="center"/>
              <w:rPr>
                <w:rFonts w:hint="default" w:ascii="Times New Roman" w:hAnsi="Times New Roman" w:cs="Times New Roman"/>
                <w:bCs/>
                <w:color w:val="000000" w:themeColor="text1"/>
                <w:szCs w:val="21"/>
                <w:lang w:eastAsia="zh-CN"/>
                <w14:textFill>
                  <w14:solidFill>
                    <w14:schemeClr w14:val="tx1"/>
                  </w14:solidFill>
                </w14:textFill>
              </w:rPr>
            </w:pPr>
          </w:p>
          <w:p w14:paraId="214005B4">
            <w:pPr>
              <w:pStyle w:val="2"/>
              <w:rPr>
                <w:rFonts w:hint="default"/>
                <w:lang w:eastAsia="zh-CN"/>
              </w:rPr>
            </w:pPr>
          </w:p>
        </w:tc>
        <w:tc>
          <w:tcPr>
            <w:tcW w:w="670" w:type="pct"/>
            <w:shd w:val="clear" w:color="auto" w:fill="auto"/>
            <w:vAlign w:val="center"/>
          </w:tcPr>
          <w:p w14:paraId="0815D5A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pH值</w:t>
            </w:r>
          </w:p>
        </w:tc>
        <w:tc>
          <w:tcPr>
            <w:tcW w:w="1531" w:type="pct"/>
            <w:shd w:val="clear" w:color="auto" w:fill="auto"/>
            <w:vAlign w:val="center"/>
          </w:tcPr>
          <w:p w14:paraId="21F3DA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w:t>
            </w:r>
            <w:r>
              <w:rPr>
                <w:rFonts w:hint="default" w:ascii="Times New Roman" w:hAnsi="Times New Roman" w:eastAsia="宋体" w:cs="Times New Roman"/>
                <w:color w:val="auto"/>
                <w:sz w:val="21"/>
                <w:szCs w:val="21"/>
                <w:lang w:eastAsia="zh-CN"/>
              </w:rPr>
              <w:t>pH值</w:t>
            </w:r>
            <w:r>
              <w:rPr>
                <w:rFonts w:hint="default" w:ascii="Times New Roman" w:hAnsi="Times New Roman" w:eastAsia="宋体" w:cs="Times New Roman"/>
                <w:color w:val="auto"/>
                <w:sz w:val="21"/>
                <w:szCs w:val="21"/>
              </w:rPr>
              <w:t>的测定</w:t>
            </w:r>
          </w:p>
          <w:p w14:paraId="7063E9C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 xml:space="preserve"> 电极法</w:t>
            </w:r>
          </w:p>
        </w:tc>
        <w:tc>
          <w:tcPr>
            <w:tcW w:w="663" w:type="pct"/>
            <w:shd w:val="clear" w:color="auto" w:fill="auto"/>
            <w:vAlign w:val="center"/>
          </w:tcPr>
          <w:p w14:paraId="108E9A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HJ 1147-2020</w:t>
            </w:r>
          </w:p>
        </w:tc>
        <w:tc>
          <w:tcPr>
            <w:tcW w:w="1084" w:type="pct"/>
            <w:shd w:val="clear" w:color="auto" w:fill="auto"/>
            <w:vAlign w:val="center"/>
          </w:tcPr>
          <w:p w14:paraId="527DC4FE">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eastAsia="zh-CN"/>
              </w:rPr>
              <w:t>便携式</w:t>
            </w:r>
            <w:r>
              <w:rPr>
                <w:rFonts w:hint="default" w:ascii="Times New Roman" w:hAnsi="Times New Roman" w:cs="Times New Roman"/>
                <w:color w:val="auto"/>
                <w:szCs w:val="21"/>
                <w:lang w:eastAsia="zh-CN"/>
              </w:rPr>
              <w:t>pH</w:t>
            </w:r>
            <w:r>
              <w:rPr>
                <w:rFonts w:hint="default" w:ascii="Times New Roman" w:hAnsi="Times New Roman" w:cs="Times New Roman"/>
                <w:color w:val="auto"/>
                <w:kern w:val="0"/>
                <w:szCs w:val="21"/>
                <w:lang w:eastAsia="zh-CN"/>
              </w:rPr>
              <w:t>计</w:t>
            </w:r>
            <w:r>
              <w:rPr>
                <w:rFonts w:hint="default" w:ascii="Times New Roman" w:hAnsi="Times New Roman" w:cs="Times New Roman"/>
                <w:color w:val="000000"/>
                <w:kern w:val="0"/>
                <w:szCs w:val="21"/>
              </w:rPr>
              <w:t>SDTZA</w:t>
            </w:r>
            <w:r>
              <w:rPr>
                <w:rFonts w:hint="default" w:ascii="Times New Roman" w:hAnsi="Times New Roman" w:cs="Times New Roman"/>
                <w:color w:val="000000"/>
                <w:kern w:val="0"/>
                <w:szCs w:val="21"/>
                <w:lang w:val="en-US"/>
              </w:rPr>
              <w:t>7-0</w:t>
            </w:r>
            <w:r>
              <w:rPr>
                <w:rFonts w:hint="eastAsia" w:cs="Times New Roman"/>
                <w:color w:val="000000"/>
                <w:kern w:val="0"/>
                <w:szCs w:val="21"/>
                <w:lang w:val="en-US" w:eastAsia="zh-CN"/>
              </w:rPr>
              <w:t>20</w:t>
            </w:r>
          </w:p>
        </w:tc>
        <w:tc>
          <w:tcPr>
            <w:tcW w:w="616" w:type="pct"/>
            <w:shd w:val="clear" w:color="auto" w:fill="auto"/>
            <w:vAlign w:val="center"/>
          </w:tcPr>
          <w:p w14:paraId="16729E71">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w:t>
            </w:r>
          </w:p>
        </w:tc>
      </w:tr>
      <w:tr w14:paraId="798A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7E7B97A4">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5A46D18E">
            <w:pPr>
              <w:jc w:val="center"/>
              <w:rPr>
                <w:rFonts w:hint="default" w:ascii="Times New Roman" w:hAnsi="Times New Roman" w:cs="Times New Roman"/>
                <w:szCs w:val="21"/>
              </w:rPr>
            </w:pPr>
            <w:r>
              <w:rPr>
                <w:rFonts w:hint="default" w:ascii="Times New Roman" w:hAnsi="Times New Roman" w:cs="Times New Roman"/>
                <w:szCs w:val="21"/>
              </w:rPr>
              <w:t>化学</w:t>
            </w:r>
          </w:p>
          <w:p w14:paraId="6A12E5B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需氧量</w:t>
            </w:r>
          </w:p>
        </w:tc>
        <w:tc>
          <w:tcPr>
            <w:tcW w:w="1531" w:type="pct"/>
            <w:shd w:val="clear" w:color="auto" w:fill="auto"/>
            <w:vAlign w:val="center"/>
          </w:tcPr>
          <w:p w14:paraId="4D360337">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水质 化学需氧量的测定</w:t>
            </w:r>
          </w:p>
          <w:p w14:paraId="1895E7B1">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color w:val="auto"/>
                <w:sz w:val="21"/>
                <w:szCs w:val="21"/>
                <w:lang w:eastAsia="zh-CN"/>
              </w:rPr>
              <w:t xml:space="preserve"> 重铬酸盐法</w:t>
            </w:r>
          </w:p>
        </w:tc>
        <w:tc>
          <w:tcPr>
            <w:tcW w:w="663" w:type="pct"/>
            <w:shd w:val="clear" w:color="auto" w:fill="auto"/>
            <w:vAlign w:val="center"/>
          </w:tcPr>
          <w:p w14:paraId="754D642D">
            <w:pPr>
              <w:spacing w:line="240" w:lineRule="auto"/>
              <w:jc w:val="center"/>
              <w:rPr>
                <w:rFonts w:hint="default" w:ascii="Times New Roman" w:hAnsi="Times New Roman" w:cs="Times New Roman"/>
                <w:szCs w:val="21"/>
              </w:rPr>
            </w:pPr>
            <w:r>
              <w:rPr>
                <w:rFonts w:hint="default" w:ascii="Times New Roman" w:hAnsi="Times New Roman" w:cs="Times New Roman"/>
                <w:szCs w:val="21"/>
              </w:rPr>
              <w:t>HJ</w:t>
            </w:r>
          </w:p>
          <w:p w14:paraId="19DA0FCE">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828-2017</w:t>
            </w:r>
          </w:p>
        </w:tc>
        <w:tc>
          <w:tcPr>
            <w:tcW w:w="1084" w:type="pct"/>
            <w:shd w:val="clear" w:color="auto" w:fill="auto"/>
            <w:vAlign w:val="center"/>
          </w:tcPr>
          <w:p w14:paraId="12D8A9E8">
            <w:pPr>
              <w:jc w:val="center"/>
              <w:rPr>
                <w:rFonts w:hint="default" w:ascii="Times New Roman" w:hAnsi="Times New Roman" w:cs="Times New Roman"/>
                <w:bCs/>
                <w:szCs w:val="21"/>
              </w:rPr>
            </w:pPr>
            <w:r>
              <w:rPr>
                <w:rFonts w:hint="default" w:ascii="Times New Roman" w:hAnsi="Times New Roman" w:cs="Times New Roman"/>
                <w:bCs/>
                <w:szCs w:val="21"/>
              </w:rPr>
              <w:t>酸</w:t>
            </w:r>
            <w:r>
              <w:rPr>
                <w:rFonts w:hint="default" w:ascii="Times New Roman" w:hAnsi="Times New Roman" w:cs="Times New Roman"/>
                <w:bCs/>
                <w:szCs w:val="21"/>
                <w:lang w:eastAsia="zh-CN"/>
              </w:rPr>
              <w:t>式</w:t>
            </w:r>
            <w:r>
              <w:rPr>
                <w:rFonts w:hint="default" w:ascii="Times New Roman" w:hAnsi="Times New Roman" w:cs="Times New Roman"/>
                <w:bCs/>
                <w:szCs w:val="21"/>
              </w:rPr>
              <w:t>滴定管</w:t>
            </w:r>
          </w:p>
          <w:p w14:paraId="6CC13204">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SDTZA6-0</w:t>
            </w:r>
            <w:r>
              <w:rPr>
                <w:rFonts w:hint="default" w:ascii="Times New Roman" w:hAnsi="Times New Roman" w:cs="Times New Roman"/>
                <w:bCs/>
                <w:szCs w:val="21"/>
                <w:lang w:val="en-US" w:eastAsia="zh-CN"/>
              </w:rPr>
              <w:t>74</w:t>
            </w:r>
          </w:p>
        </w:tc>
        <w:tc>
          <w:tcPr>
            <w:tcW w:w="616" w:type="pct"/>
            <w:shd w:val="clear" w:color="auto" w:fill="auto"/>
            <w:vAlign w:val="center"/>
          </w:tcPr>
          <w:p w14:paraId="4CB82A9E">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4mg/L</w:t>
            </w:r>
          </w:p>
        </w:tc>
      </w:tr>
      <w:tr w14:paraId="4537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166F4DC3">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74D989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氨氮</w:t>
            </w:r>
          </w:p>
        </w:tc>
        <w:tc>
          <w:tcPr>
            <w:tcW w:w="1531" w:type="pct"/>
            <w:shd w:val="clear" w:color="auto" w:fill="auto"/>
            <w:vAlign w:val="center"/>
          </w:tcPr>
          <w:p w14:paraId="14C85894">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 xml:space="preserve">水质  氨氮的测定  </w:t>
            </w:r>
          </w:p>
          <w:p w14:paraId="7EE126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eastAsia="zh-CN"/>
              </w:rPr>
              <w:t>纳氏试剂分光光度法</w:t>
            </w:r>
          </w:p>
        </w:tc>
        <w:tc>
          <w:tcPr>
            <w:tcW w:w="663" w:type="pct"/>
            <w:shd w:val="clear" w:color="auto" w:fill="auto"/>
            <w:vAlign w:val="center"/>
          </w:tcPr>
          <w:p w14:paraId="556A89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HJ 535-2009</w:t>
            </w:r>
          </w:p>
        </w:tc>
        <w:tc>
          <w:tcPr>
            <w:tcW w:w="1084" w:type="pct"/>
            <w:shd w:val="clear" w:color="auto" w:fill="auto"/>
            <w:vAlign w:val="center"/>
          </w:tcPr>
          <w:p w14:paraId="6D0B09D3">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722S</w:t>
            </w:r>
            <w:r>
              <w:rPr>
                <w:rFonts w:hint="default" w:ascii="Times New Roman" w:hAnsi="Times New Roman" w:cs="Times New Roman"/>
                <w:color w:val="auto"/>
                <w:sz w:val="21"/>
                <w:szCs w:val="21"/>
              </w:rPr>
              <w:t>可见分光光度计SDTZA1-006</w:t>
            </w:r>
          </w:p>
        </w:tc>
        <w:tc>
          <w:tcPr>
            <w:tcW w:w="616" w:type="pct"/>
            <w:shd w:val="clear" w:color="auto" w:fill="auto"/>
            <w:vAlign w:val="center"/>
          </w:tcPr>
          <w:p w14:paraId="0B4B15E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0.025mg/L</w:t>
            </w:r>
          </w:p>
        </w:tc>
      </w:tr>
      <w:tr w14:paraId="7E7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2C593EBB">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46AAA26A">
            <w:pPr>
              <w:spacing w:line="240" w:lineRule="auto"/>
              <w:jc w:val="center"/>
              <w:rPr>
                <w:rFonts w:hint="default" w:ascii="Times New Roman" w:hAnsi="Times New Roman" w:eastAsia="宋体" w:cs="Times New Roman"/>
                <w:color w:val="000000"/>
                <w:kern w:val="2"/>
                <w:sz w:val="21"/>
                <w:szCs w:val="21"/>
                <w:lang w:val="en-US" w:eastAsia="zh-CN" w:bidi="ar-SA"/>
              </w:rPr>
            </w:pPr>
            <w:r>
              <w:rPr>
                <w:color w:val="auto"/>
                <w:szCs w:val="21"/>
              </w:rPr>
              <w:t>硫酸盐</w:t>
            </w:r>
          </w:p>
        </w:tc>
        <w:tc>
          <w:tcPr>
            <w:tcW w:w="1531" w:type="pct"/>
            <w:shd w:val="clear" w:color="auto" w:fill="auto"/>
            <w:vAlign w:val="center"/>
          </w:tcPr>
          <w:p w14:paraId="331527B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水质 无机阴离子（F</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、Cl</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、Br</w:t>
            </w:r>
            <w:r>
              <w:rPr>
                <w:rFonts w:hint="default" w:ascii="Times New Roman" w:hAnsi="Times New Roman" w:cs="Times New Roman" w:eastAsiaTheme="minorEastAsia"/>
                <w:color w:val="auto"/>
                <w:sz w:val="21"/>
                <w:szCs w:val="21"/>
                <w:vertAlign w:val="superscript"/>
              </w:rPr>
              <w:t>-</w:t>
            </w: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、PO</w:t>
            </w:r>
            <w:r>
              <w:rPr>
                <w:rFonts w:hint="default" w:ascii="Times New Roman" w:hAnsi="Times New Roman" w:cs="Times New Roman" w:eastAsiaTheme="minorEastAsia"/>
                <w:color w:val="auto"/>
                <w:sz w:val="21"/>
                <w:szCs w:val="21"/>
                <w:vertAlign w:val="subscript"/>
              </w:rPr>
              <w:t>4</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4</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）的测定离子色谱法</w:t>
            </w:r>
          </w:p>
        </w:tc>
        <w:tc>
          <w:tcPr>
            <w:tcW w:w="663" w:type="pct"/>
            <w:shd w:val="clear" w:color="auto" w:fill="auto"/>
            <w:vAlign w:val="center"/>
          </w:tcPr>
          <w:p w14:paraId="6606A35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HJ84-2016</w:t>
            </w:r>
          </w:p>
        </w:tc>
        <w:tc>
          <w:tcPr>
            <w:tcW w:w="1084" w:type="pct"/>
            <w:shd w:val="clear" w:color="auto" w:fill="auto"/>
            <w:vAlign w:val="center"/>
          </w:tcPr>
          <w:p w14:paraId="7081955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离子色谱仪</w:t>
            </w:r>
            <w:r>
              <w:rPr>
                <w:rFonts w:hint="default" w:ascii="Times New Roman" w:hAnsi="Times New Roman" w:cs="Times New Roman"/>
                <w:color w:val="auto"/>
                <w:szCs w:val="21"/>
              </w:rPr>
              <w:t>SDTZA2-001</w:t>
            </w:r>
          </w:p>
        </w:tc>
        <w:tc>
          <w:tcPr>
            <w:tcW w:w="616" w:type="pct"/>
            <w:shd w:val="clear" w:color="auto" w:fill="auto"/>
            <w:vAlign w:val="center"/>
          </w:tcPr>
          <w:p w14:paraId="72EF6ABD">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0.018</w:t>
            </w:r>
            <w:r>
              <w:rPr>
                <w:rFonts w:hint="default" w:ascii="Times New Roman" w:hAnsi="Times New Roman" w:cs="Times New Roman"/>
                <w:bCs/>
                <w:color w:val="auto"/>
                <w:kern w:val="0"/>
                <w:szCs w:val="21"/>
              </w:rPr>
              <w:t>mg/L</w:t>
            </w:r>
          </w:p>
        </w:tc>
      </w:tr>
      <w:tr w14:paraId="5C87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031044D5">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15994EC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悬浮物</w:t>
            </w:r>
          </w:p>
        </w:tc>
        <w:tc>
          <w:tcPr>
            <w:tcW w:w="1531" w:type="pct"/>
            <w:shd w:val="clear" w:color="auto" w:fill="auto"/>
            <w:vAlign w:val="center"/>
          </w:tcPr>
          <w:p w14:paraId="0A0ABDE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水质 悬浮物的测定 重量法</w:t>
            </w:r>
          </w:p>
        </w:tc>
        <w:tc>
          <w:tcPr>
            <w:tcW w:w="663" w:type="pct"/>
            <w:shd w:val="clear" w:color="auto" w:fill="auto"/>
            <w:vAlign w:val="center"/>
          </w:tcPr>
          <w:p w14:paraId="2E0EF358">
            <w:pPr>
              <w:jc w:val="center"/>
              <w:rPr>
                <w:rFonts w:hint="default" w:ascii="Times New Roman" w:hAnsi="Times New Roman" w:cs="Times New Roman"/>
                <w:color w:val="auto"/>
                <w:szCs w:val="21"/>
              </w:rPr>
            </w:pPr>
            <w:r>
              <w:rPr>
                <w:rFonts w:hint="default" w:ascii="Times New Roman" w:hAnsi="Times New Roman" w:cs="Times New Roman"/>
                <w:color w:val="auto"/>
                <w:szCs w:val="21"/>
              </w:rPr>
              <w:t>GB/T</w:t>
            </w:r>
          </w:p>
          <w:p w14:paraId="126752D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11901-1989</w:t>
            </w:r>
          </w:p>
        </w:tc>
        <w:tc>
          <w:tcPr>
            <w:tcW w:w="1084" w:type="pct"/>
            <w:shd w:val="clear" w:color="auto" w:fill="auto"/>
            <w:vAlign w:val="center"/>
          </w:tcPr>
          <w:p w14:paraId="154C555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电子天平</w:t>
            </w:r>
          </w:p>
          <w:p w14:paraId="2BDD916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SDTZA3-005</w:t>
            </w:r>
          </w:p>
        </w:tc>
        <w:tc>
          <w:tcPr>
            <w:tcW w:w="616" w:type="pct"/>
            <w:shd w:val="clear" w:color="auto" w:fill="auto"/>
            <w:vAlign w:val="center"/>
          </w:tcPr>
          <w:p w14:paraId="5465E4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szCs w:val="21"/>
              </w:rPr>
              <w:t>/</w:t>
            </w:r>
          </w:p>
        </w:tc>
      </w:tr>
      <w:tr w14:paraId="17BA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1049A301">
            <w:pPr>
              <w:pStyle w:val="2"/>
              <w:rPr>
                <w:rFonts w:hint="default"/>
                <w:lang w:eastAsia="zh-CN"/>
              </w:rPr>
            </w:pPr>
          </w:p>
        </w:tc>
        <w:tc>
          <w:tcPr>
            <w:tcW w:w="670" w:type="pct"/>
            <w:shd w:val="clear" w:color="auto" w:fill="auto"/>
            <w:vAlign w:val="center"/>
          </w:tcPr>
          <w:p w14:paraId="2E1DD619">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全盐量</w:t>
            </w:r>
          </w:p>
        </w:tc>
        <w:tc>
          <w:tcPr>
            <w:tcW w:w="1531" w:type="pct"/>
            <w:shd w:val="clear" w:color="auto" w:fill="auto"/>
            <w:vAlign w:val="center"/>
          </w:tcPr>
          <w:p w14:paraId="0E2B90B3">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水质 全盐量的测定 </w:t>
            </w:r>
          </w:p>
          <w:p w14:paraId="1C19170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重量法</w:t>
            </w:r>
          </w:p>
        </w:tc>
        <w:tc>
          <w:tcPr>
            <w:tcW w:w="663" w:type="pct"/>
            <w:shd w:val="clear" w:color="auto" w:fill="auto"/>
            <w:vAlign w:val="center"/>
          </w:tcPr>
          <w:p w14:paraId="62402C7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HJ/T 51-1999</w:t>
            </w:r>
          </w:p>
        </w:tc>
        <w:tc>
          <w:tcPr>
            <w:tcW w:w="1084" w:type="pct"/>
            <w:shd w:val="clear" w:color="auto" w:fill="auto"/>
            <w:vAlign w:val="center"/>
          </w:tcPr>
          <w:p w14:paraId="03993F7D">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电子天平</w:t>
            </w:r>
          </w:p>
          <w:p w14:paraId="5BE7EC8D">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SDTZA3-005</w:t>
            </w:r>
          </w:p>
        </w:tc>
        <w:tc>
          <w:tcPr>
            <w:tcW w:w="616" w:type="pct"/>
            <w:shd w:val="clear" w:color="auto" w:fill="auto"/>
            <w:vAlign w:val="center"/>
          </w:tcPr>
          <w:p w14:paraId="036F54A5">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w:t>
            </w:r>
          </w:p>
        </w:tc>
      </w:tr>
      <w:tr w14:paraId="6094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vAlign w:val="center"/>
          </w:tcPr>
          <w:p w14:paraId="0D3214F6">
            <w:pPr>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670" w:type="pct"/>
            <w:shd w:val="clear" w:color="auto" w:fill="auto"/>
            <w:vAlign w:val="center"/>
          </w:tcPr>
          <w:p w14:paraId="35BAFF3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总磷</w:t>
            </w:r>
          </w:p>
        </w:tc>
        <w:tc>
          <w:tcPr>
            <w:tcW w:w="1531" w:type="pct"/>
            <w:shd w:val="clear" w:color="auto" w:fill="auto"/>
            <w:vAlign w:val="center"/>
          </w:tcPr>
          <w:p w14:paraId="45F54C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总磷的测定</w:t>
            </w:r>
          </w:p>
          <w:p w14:paraId="6895D9E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钼酸铵分光光度法</w:t>
            </w:r>
          </w:p>
        </w:tc>
        <w:tc>
          <w:tcPr>
            <w:tcW w:w="663" w:type="pct"/>
            <w:shd w:val="clear" w:color="auto" w:fill="auto"/>
            <w:vAlign w:val="center"/>
          </w:tcPr>
          <w:p w14:paraId="080CE0A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11893-1989</w:t>
            </w:r>
          </w:p>
        </w:tc>
        <w:tc>
          <w:tcPr>
            <w:tcW w:w="1084" w:type="pct"/>
            <w:shd w:val="clear" w:color="auto" w:fill="auto"/>
            <w:vAlign w:val="center"/>
          </w:tcPr>
          <w:p w14:paraId="2B10D4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722</w:t>
            </w:r>
            <w:r>
              <w:rPr>
                <w:rFonts w:hint="default" w:ascii="Times New Roman" w:hAnsi="Times New Roman" w:eastAsia="宋体" w:cs="Times New Roman"/>
                <w:color w:val="auto"/>
                <w:szCs w:val="21"/>
              </w:rPr>
              <w:t>可见分光光度计SDTZA1-00</w:t>
            </w:r>
            <w:r>
              <w:rPr>
                <w:rFonts w:hint="default" w:ascii="Times New Roman" w:hAnsi="Times New Roman" w:cs="Times New Roman"/>
                <w:color w:val="auto"/>
                <w:szCs w:val="21"/>
                <w:lang w:val="en-US"/>
              </w:rPr>
              <w:t>1</w:t>
            </w:r>
          </w:p>
        </w:tc>
        <w:tc>
          <w:tcPr>
            <w:tcW w:w="616" w:type="pct"/>
            <w:shd w:val="clear" w:color="auto" w:fill="auto"/>
            <w:vAlign w:val="center"/>
          </w:tcPr>
          <w:p w14:paraId="00A245B8">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rPr>
              <w:t>0.01mg/L</w:t>
            </w:r>
          </w:p>
        </w:tc>
      </w:tr>
      <w:bookmarkEnd w:id="44"/>
    </w:tbl>
    <w:p w14:paraId="7E412DD5">
      <w:pPr>
        <w:pStyle w:val="3"/>
        <w:spacing w:after="0" w:line="360" w:lineRule="auto"/>
        <w:ind w:left="0" w:leftChars="0" w:firstLine="0" w:firstLineChars="0"/>
        <w:jc w:val="both"/>
        <w:rPr>
          <w:rFonts w:hint="default" w:ascii="Times New Roman" w:hAnsi="Times New Roman" w:eastAsia="宋体" w:cs="Times New Roman"/>
          <w:b/>
          <w:sz w:val="32"/>
          <w:szCs w:val="32"/>
        </w:rPr>
      </w:pPr>
      <w:bookmarkStart w:id="45" w:name="_Toc16367"/>
    </w:p>
    <w:p w14:paraId="1303112F">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15AAB5EB">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29C6319F">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29BBB144">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3FA2B80C">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07BF1F60">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72E99C16">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6DCB2393">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33A65D66">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570C728C">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22961676">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1754DC05">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4D7A7B78">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43686D03">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41B8CE85">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75F0A7EB">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5A53196F">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4398F88B">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70CA2B45">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703EB7BF">
      <w:pPr>
        <w:pStyle w:val="3"/>
        <w:spacing w:after="0" w:line="360" w:lineRule="auto"/>
        <w:ind w:left="0" w:leftChars="0" w:firstLine="0" w:firstLineChars="0"/>
        <w:jc w:val="center"/>
        <w:rPr>
          <w:rFonts w:hint="default" w:ascii="Times New Roman" w:hAnsi="Times New Roman" w:eastAsia="宋体" w:cs="Times New Roman"/>
          <w:b/>
          <w:sz w:val="32"/>
          <w:szCs w:val="32"/>
        </w:rPr>
      </w:pPr>
    </w:p>
    <w:p w14:paraId="2FE95436">
      <w:pPr>
        <w:pStyle w:val="4"/>
        <w:rPr>
          <w:rFonts w:hint="default" w:ascii="Times New Roman" w:hAnsi="Times New Roman" w:eastAsia="宋体" w:cs="Times New Roman"/>
          <w:b/>
          <w:sz w:val="32"/>
          <w:szCs w:val="32"/>
        </w:rPr>
      </w:pPr>
    </w:p>
    <w:p w14:paraId="4F59A51E">
      <w:pPr>
        <w:rPr>
          <w:rFonts w:hint="default" w:ascii="Times New Roman" w:hAnsi="Times New Roman" w:eastAsia="宋体" w:cs="Times New Roman"/>
          <w:b/>
          <w:sz w:val="32"/>
          <w:szCs w:val="32"/>
        </w:rPr>
      </w:pPr>
    </w:p>
    <w:p w14:paraId="10A8B691">
      <w:pPr>
        <w:pStyle w:val="2"/>
        <w:rPr>
          <w:rFonts w:hint="default"/>
        </w:rPr>
      </w:pPr>
    </w:p>
    <w:p w14:paraId="710C6CA0">
      <w:pPr>
        <w:rPr>
          <w:rFonts w:hint="default"/>
        </w:rPr>
      </w:pPr>
    </w:p>
    <w:p w14:paraId="46668FE7">
      <w:pPr>
        <w:pStyle w:val="3"/>
        <w:spacing w:after="0" w:line="360" w:lineRule="auto"/>
        <w:ind w:left="0" w:leftChars="0" w:firstLine="0" w:firstLineChars="0"/>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8、质量保证及质量控制</w:t>
      </w:r>
      <w:bookmarkEnd w:id="45"/>
    </w:p>
    <w:p w14:paraId="2C82E3F9">
      <w:pPr>
        <w:pStyle w:val="50"/>
        <w:spacing w:line="360" w:lineRule="auto"/>
        <w:ind w:firstLine="0" w:firstLineChars="0"/>
        <w:jc w:val="left"/>
        <w:outlineLvl w:val="1"/>
        <w:rPr>
          <w:rFonts w:hint="default" w:ascii="Times New Roman" w:hAnsi="Times New Roman" w:eastAsia="宋体" w:cs="Times New Roman"/>
          <w:b/>
          <w:sz w:val="28"/>
          <w:szCs w:val="32"/>
        </w:rPr>
      </w:pPr>
      <w:bookmarkStart w:id="46" w:name="_Toc23509"/>
      <w:r>
        <w:rPr>
          <w:rFonts w:hint="default" w:ascii="Times New Roman" w:hAnsi="Times New Roman" w:eastAsia="宋体" w:cs="Times New Roman"/>
          <w:b/>
          <w:sz w:val="28"/>
          <w:szCs w:val="32"/>
        </w:rPr>
        <w:t>8.1监测分析方法及监测仪器</w:t>
      </w:r>
      <w:bookmarkEnd w:id="46"/>
    </w:p>
    <w:p w14:paraId="10A270EE">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1、声级计在测试前后用标准发生源进行校准，测量前后仪器的灵敏度相差不大于0.5dB。测量在无雨、无雪天气条件下进行，风速5m/s以上停止测量；测量时传声器加风罩。</w:t>
      </w:r>
    </w:p>
    <w:p w14:paraId="7213579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2、被测排放物的浓度在仪器量程的有效范围内。</w:t>
      </w:r>
    </w:p>
    <w:p w14:paraId="0691A871">
      <w:pPr>
        <w:pStyle w:val="50"/>
        <w:spacing w:line="360" w:lineRule="auto"/>
        <w:ind w:firstLine="0" w:firstLineChars="0"/>
        <w:jc w:val="left"/>
        <w:outlineLvl w:val="1"/>
        <w:rPr>
          <w:rFonts w:hint="default" w:ascii="Times New Roman" w:hAnsi="Times New Roman" w:eastAsia="宋体" w:cs="Times New Roman"/>
          <w:b/>
          <w:sz w:val="28"/>
          <w:szCs w:val="32"/>
        </w:rPr>
      </w:pPr>
      <w:bookmarkStart w:id="47" w:name="_Toc21150"/>
      <w:r>
        <w:rPr>
          <w:rFonts w:hint="default" w:ascii="Times New Roman" w:hAnsi="Times New Roman" w:eastAsia="宋体" w:cs="Times New Roman"/>
          <w:b/>
          <w:sz w:val="28"/>
          <w:szCs w:val="32"/>
        </w:rPr>
        <w:t>8.2人员资质</w:t>
      </w:r>
      <w:bookmarkEnd w:id="47"/>
    </w:p>
    <w:p w14:paraId="6BF2EB9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参加验收监测采样和测试的人员，按国家有关规定均持证上岗，所有监测设备均经过计量部门的检定并在检定有效周期内。</w:t>
      </w:r>
    </w:p>
    <w:p w14:paraId="62B46A30">
      <w:pPr>
        <w:pStyle w:val="50"/>
        <w:spacing w:line="360" w:lineRule="auto"/>
        <w:ind w:firstLine="0" w:firstLineChars="0"/>
        <w:jc w:val="left"/>
        <w:outlineLvl w:val="1"/>
        <w:rPr>
          <w:rFonts w:hint="default" w:ascii="Times New Roman" w:hAnsi="Times New Roman" w:eastAsia="宋体" w:cs="Times New Roman"/>
          <w:b/>
          <w:sz w:val="28"/>
          <w:szCs w:val="32"/>
        </w:rPr>
      </w:pPr>
      <w:bookmarkStart w:id="48" w:name="_Toc4355"/>
      <w:bookmarkStart w:id="49" w:name="_Toc4390"/>
      <w:bookmarkStart w:id="50" w:name="_Toc19288"/>
      <w:r>
        <w:rPr>
          <w:rFonts w:hint="default" w:ascii="Times New Roman" w:hAnsi="Times New Roman" w:eastAsia="宋体" w:cs="Times New Roman"/>
          <w:b/>
          <w:sz w:val="28"/>
          <w:szCs w:val="32"/>
        </w:rPr>
        <w:t>8.3水质监测分析过程中的质量保证和质量控制</w:t>
      </w:r>
      <w:bookmarkEnd w:id="48"/>
      <w:bookmarkEnd w:id="49"/>
      <w:bookmarkEnd w:id="50"/>
    </w:p>
    <w:p w14:paraId="72DE6D0D">
      <w:pPr>
        <w:pStyle w:val="3"/>
        <w:spacing w:after="0" w:line="360" w:lineRule="auto"/>
        <w:ind w:left="0" w:firstLine="480" w:firstLineChars="200"/>
        <w:rPr>
          <w:rFonts w:hint="default" w:ascii="Times New Roman" w:hAnsi="Times New Roman" w:cs="Times New Roman"/>
          <w:color w:val="000000"/>
          <w:sz w:val="24"/>
          <w:szCs w:val="28"/>
        </w:rPr>
      </w:pPr>
      <w:bookmarkStart w:id="51" w:name="_Toc16565"/>
      <w:bookmarkStart w:id="52" w:name="_Toc9991"/>
      <w:bookmarkStart w:id="53" w:name="_Toc2660"/>
      <w:r>
        <w:rPr>
          <w:rFonts w:hint="default" w:ascii="Times New Roman" w:hAnsi="Times New Roman" w:cs="Times New Roman"/>
          <w:sz w:val="24"/>
          <w:szCs w:val="24"/>
        </w:rPr>
        <w:t>项目废水监测质量保证和质量控制按照《地表水环境质量监测技术规范》（HJ/T 91-20</w:t>
      </w:r>
      <w:r>
        <w:rPr>
          <w:rFonts w:hint="default" w:ascii="Times New Roman" w:hAnsi="Times New Roman" w:cs="Times New Roman"/>
          <w:sz w:val="24"/>
          <w:szCs w:val="24"/>
          <w:lang w:val="en-US" w:eastAsia="zh-CN"/>
        </w:rPr>
        <w:t>22</w:t>
      </w:r>
      <w:r>
        <w:rPr>
          <w:rFonts w:hint="default" w:ascii="Times New Roman" w:hAnsi="Times New Roman" w:cs="Times New Roman"/>
          <w:sz w:val="24"/>
          <w:szCs w:val="24"/>
        </w:rPr>
        <w:t>）、《水质样品的保存和管理技术规定》（HJ 493-2009）</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固定污染源监测质量保证与质量控制技术规范（试行）</w:t>
      </w:r>
      <w:r>
        <w:rPr>
          <w:rFonts w:hint="default" w:ascii="Times New Roman" w:hAnsi="Times New Roman" w:cs="Times New Roman"/>
          <w:sz w:val="24"/>
          <w:szCs w:val="24"/>
          <w:lang w:eastAsia="zh-CN"/>
        </w:rPr>
        <w:t>》（</w:t>
      </w:r>
      <w:r>
        <w:rPr>
          <w:rFonts w:hint="default" w:ascii="Times New Roman" w:hAnsi="Times New Roman" w:cs="Times New Roman"/>
          <w:sz w:val="24"/>
          <w:szCs w:val="24"/>
        </w:rPr>
        <w:t>HJ/T 373-2007</w:t>
      </w:r>
      <w:r>
        <w:rPr>
          <w:rFonts w:hint="default" w:ascii="Times New Roman" w:hAnsi="Times New Roman" w:cs="Times New Roman"/>
          <w:sz w:val="24"/>
          <w:szCs w:val="24"/>
          <w:lang w:eastAsia="zh-CN"/>
        </w:rPr>
        <w:t>）</w:t>
      </w:r>
      <w:r>
        <w:rPr>
          <w:rFonts w:hint="default" w:ascii="Times New Roman" w:hAnsi="Times New Roman" w:cs="Times New Roman"/>
          <w:sz w:val="24"/>
          <w:szCs w:val="24"/>
        </w:rPr>
        <w:t>等相关技术规定执行。优先采用国标、行标监测分析方法，监测采样与测试分析人员均经考核合格并持证上岗，监测仪器经计量部门检定并在有效使用期内。按照《地表水和污水监测技术规范》（HJ/T 91-2002）、《水质 样品的保存和管理技术规定》（HJ 493-2009）对样品的采集、保存以及运输采取了质量控制措施。主要包括依据该标准选用合适的采样容器，并对容器进行了洗涤；水样加固定剂保存，水样运输前将容器盖盖紧，确认所采水样全部装箱；运输时有专门押运人员；水样交化验室时，办理了交接手续。进行了精密度控制，质控结果评价按照《水和污水监测分析方法（第四版）》执行。</w:t>
      </w:r>
    </w:p>
    <w:p w14:paraId="5C4DC2CF">
      <w:pPr>
        <w:pStyle w:val="50"/>
        <w:spacing w:line="360" w:lineRule="auto"/>
        <w:ind w:firstLine="0" w:firstLineChars="0"/>
        <w:jc w:val="left"/>
        <w:outlineLvl w:val="1"/>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8.4气体监测分析过程中的质量保证和质量控制</w:t>
      </w:r>
      <w:bookmarkEnd w:id="51"/>
      <w:bookmarkEnd w:id="52"/>
      <w:bookmarkEnd w:id="53"/>
      <w:r>
        <w:rPr>
          <w:rFonts w:hint="default" w:ascii="Times New Roman" w:hAnsi="Times New Roman" w:eastAsia="宋体" w:cs="Times New Roman"/>
          <w:b/>
          <w:sz w:val="28"/>
          <w:szCs w:val="32"/>
        </w:rPr>
        <w:t xml:space="preserve"> </w:t>
      </w:r>
    </w:p>
    <w:p w14:paraId="00ED2032">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1、质控依据：</w:t>
      </w:r>
    </w:p>
    <w:p w14:paraId="3499A103">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《固定污染源监测质量保证与质量控制技术规范》HJ/T 373-2007；</w:t>
      </w:r>
    </w:p>
    <w:p w14:paraId="0F1E38F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《固定源废气监测技术规范》HJ/T 397-2007；</w:t>
      </w:r>
    </w:p>
    <w:p w14:paraId="375223CC">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《大气污染物无组织排放监测技术导则》 HJ/T 55-2000。</w:t>
      </w:r>
    </w:p>
    <w:p w14:paraId="6B3C681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2、质控措施：</w:t>
      </w:r>
    </w:p>
    <w:p w14:paraId="503B06E4">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（1）尽量避免被测排放物中共存污染物对分析的交叉干扰。</w:t>
      </w:r>
    </w:p>
    <w:p w14:paraId="4493FFB2">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（2）被测排放物的浓度在仪器量程的有效范围（即30%-70%之间）</w:t>
      </w:r>
    </w:p>
    <w:p w14:paraId="1198F29C">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（3）颗粒物采样器在进入现场前应对采样器计、流速计等进行校核。气体监测仪器在测试前按监测因子分别用标准气体和流量计对其进行校核，在测试是应保证采样流量的准确。</w:t>
      </w:r>
    </w:p>
    <w:p w14:paraId="7289A9AB">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（4）监测、计量设备强检合格；人员持证上岗；</w:t>
      </w:r>
    </w:p>
    <w:p w14:paraId="08A639EC">
      <w:pPr>
        <w:pStyle w:val="50"/>
        <w:spacing w:line="360" w:lineRule="auto"/>
        <w:ind w:firstLine="0" w:firstLineChars="0"/>
        <w:jc w:val="left"/>
        <w:outlineLvl w:val="1"/>
        <w:rPr>
          <w:rFonts w:hint="default" w:ascii="Times New Roman" w:hAnsi="Times New Roman" w:eastAsia="宋体" w:cs="Times New Roman"/>
          <w:b/>
          <w:sz w:val="28"/>
          <w:szCs w:val="32"/>
        </w:rPr>
      </w:pPr>
      <w:bookmarkStart w:id="54" w:name="_Toc1303"/>
      <w:bookmarkStart w:id="55" w:name="_Toc19134"/>
      <w:bookmarkStart w:id="56" w:name="_Toc27599"/>
      <w:r>
        <w:rPr>
          <w:rFonts w:hint="default" w:ascii="Times New Roman" w:hAnsi="Times New Roman" w:eastAsia="宋体" w:cs="Times New Roman"/>
          <w:b/>
          <w:sz w:val="28"/>
          <w:szCs w:val="32"/>
        </w:rPr>
        <w:t>8.5噪声监测分析过程中的质量保证和质量控制</w:t>
      </w:r>
      <w:bookmarkEnd w:id="54"/>
      <w:bookmarkEnd w:id="55"/>
      <w:bookmarkEnd w:id="56"/>
    </w:p>
    <w:p w14:paraId="45B42EB3">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1、质控依据：《环境噪声监测技术规范噪声测量值修正》HJ706-2014；</w:t>
      </w:r>
    </w:p>
    <w:p w14:paraId="5B940FBC">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2、质控措施：</w:t>
      </w:r>
    </w:p>
    <w:p w14:paraId="058B95AA">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（1）声级计在测试前后用标准发声源进行校准，测试前后仪器的灵敏度相差不大于0.5dB，若大于0.5dB测试数据无效。噪声仪测量前校准值93.8dB，测量后校准值93.8dB。</w:t>
      </w:r>
    </w:p>
    <w:p w14:paraId="6626EC0A">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（2）本次监测期间无雨雪、无雷电，且风速小于5m/s；</w:t>
      </w:r>
    </w:p>
    <w:p w14:paraId="3899ADB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（3）监测、计量设备强检合格；人员持证上岗。</w:t>
      </w:r>
    </w:p>
    <w:p w14:paraId="71722F3A">
      <w:pPr>
        <w:pStyle w:val="50"/>
        <w:spacing w:line="360" w:lineRule="auto"/>
        <w:ind w:firstLine="0" w:firstLineChars="0"/>
        <w:jc w:val="left"/>
        <w:outlineLvl w:val="1"/>
        <w:rPr>
          <w:rFonts w:hint="default" w:ascii="Times New Roman" w:hAnsi="Times New Roman" w:eastAsia="宋体" w:cs="Times New Roman"/>
          <w:b/>
          <w:sz w:val="28"/>
          <w:szCs w:val="32"/>
        </w:rPr>
      </w:pPr>
      <w:bookmarkStart w:id="57" w:name="_Toc15075"/>
      <w:bookmarkStart w:id="58" w:name="_Toc3968"/>
      <w:bookmarkStart w:id="59" w:name="_Toc31195"/>
      <w:r>
        <w:rPr>
          <w:rFonts w:hint="default" w:ascii="Times New Roman" w:hAnsi="Times New Roman" w:eastAsia="宋体" w:cs="Times New Roman"/>
          <w:b/>
          <w:sz w:val="28"/>
          <w:szCs w:val="32"/>
        </w:rPr>
        <w:t>8.6固体废物监测分析过程中的质量保证和质量控制</w:t>
      </w:r>
      <w:bookmarkEnd w:id="57"/>
      <w:bookmarkEnd w:id="58"/>
      <w:bookmarkEnd w:id="59"/>
    </w:p>
    <w:p w14:paraId="2EE1859B">
      <w:pPr>
        <w:pStyle w:val="3"/>
        <w:spacing w:after="0" w:line="360" w:lineRule="auto"/>
        <w:ind w:left="0" w:firstLine="480" w:firstLineChars="200"/>
        <w:rPr>
          <w:rFonts w:ascii="Times New Roman" w:hAnsi="Times New Roman" w:eastAsia="宋体" w:cs="Times New Roman"/>
          <w:b/>
          <w:sz w:val="32"/>
          <w:szCs w:val="32"/>
        </w:rPr>
      </w:pPr>
      <w:r>
        <w:rPr>
          <w:rFonts w:hint="default" w:ascii="Times New Roman" w:hAnsi="Times New Roman" w:cs="Times New Roman"/>
          <w:color w:val="000000"/>
          <w:sz w:val="24"/>
          <w:szCs w:val="28"/>
        </w:rPr>
        <w:t>该项目未做固废监测。</w:t>
      </w:r>
      <w:bookmarkStart w:id="60" w:name="_Toc13221"/>
    </w:p>
    <w:p w14:paraId="2F4DF959">
      <w:pPr>
        <w:spacing w:line="360" w:lineRule="auto"/>
        <w:jc w:val="center"/>
        <w:rPr>
          <w:rFonts w:ascii="Times New Roman" w:hAnsi="Times New Roman" w:eastAsia="宋体" w:cs="Times New Roman"/>
          <w:b/>
          <w:sz w:val="32"/>
          <w:szCs w:val="32"/>
        </w:rPr>
      </w:pPr>
    </w:p>
    <w:p w14:paraId="7C454D24">
      <w:pPr>
        <w:spacing w:line="360" w:lineRule="auto"/>
        <w:jc w:val="center"/>
        <w:rPr>
          <w:rFonts w:ascii="Times New Roman" w:hAnsi="Times New Roman" w:eastAsia="宋体" w:cs="Times New Roman"/>
          <w:b/>
          <w:sz w:val="32"/>
          <w:szCs w:val="32"/>
        </w:rPr>
      </w:pPr>
    </w:p>
    <w:p w14:paraId="3B8CE72F">
      <w:pPr>
        <w:spacing w:line="360" w:lineRule="auto"/>
        <w:jc w:val="center"/>
        <w:rPr>
          <w:rFonts w:ascii="Times New Roman" w:hAnsi="Times New Roman" w:eastAsia="宋体" w:cs="Times New Roman"/>
          <w:b/>
          <w:sz w:val="32"/>
          <w:szCs w:val="32"/>
        </w:rPr>
      </w:pPr>
    </w:p>
    <w:p w14:paraId="71EB47FC">
      <w:pPr>
        <w:spacing w:line="360" w:lineRule="auto"/>
        <w:jc w:val="center"/>
        <w:rPr>
          <w:rFonts w:ascii="Times New Roman" w:hAnsi="Times New Roman" w:eastAsia="宋体" w:cs="Times New Roman"/>
          <w:b/>
          <w:sz w:val="32"/>
          <w:szCs w:val="32"/>
        </w:rPr>
      </w:pPr>
    </w:p>
    <w:p w14:paraId="162E0D8A">
      <w:pPr>
        <w:spacing w:line="360" w:lineRule="auto"/>
        <w:jc w:val="center"/>
        <w:rPr>
          <w:rFonts w:ascii="Times New Roman" w:hAnsi="Times New Roman" w:eastAsia="宋体" w:cs="Times New Roman"/>
          <w:b/>
          <w:sz w:val="32"/>
          <w:szCs w:val="32"/>
        </w:rPr>
      </w:pPr>
    </w:p>
    <w:p w14:paraId="54F8AB6D">
      <w:pPr>
        <w:spacing w:line="360" w:lineRule="auto"/>
        <w:jc w:val="center"/>
        <w:rPr>
          <w:rFonts w:ascii="Times New Roman" w:hAnsi="Times New Roman" w:eastAsia="宋体" w:cs="Times New Roman"/>
          <w:b/>
          <w:sz w:val="32"/>
          <w:szCs w:val="32"/>
        </w:rPr>
      </w:pPr>
    </w:p>
    <w:p w14:paraId="1E71FEA0">
      <w:pPr>
        <w:spacing w:line="360" w:lineRule="auto"/>
        <w:jc w:val="center"/>
        <w:rPr>
          <w:rFonts w:ascii="Times New Roman" w:hAnsi="Times New Roman" w:eastAsia="宋体" w:cs="Times New Roman"/>
          <w:b/>
          <w:sz w:val="32"/>
          <w:szCs w:val="32"/>
        </w:rPr>
      </w:pPr>
    </w:p>
    <w:p w14:paraId="5F1F8F6F">
      <w:pPr>
        <w:spacing w:line="360" w:lineRule="auto"/>
        <w:jc w:val="center"/>
        <w:rPr>
          <w:rFonts w:ascii="Times New Roman" w:hAnsi="Times New Roman" w:eastAsia="宋体" w:cs="Times New Roman"/>
          <w:b/>
          <w:sz w:val="32"/>
          <w:szCs w:val="32"/>
        </w:rPr>
      </w:pPr>
    </w:p>
    <w:p w14:paraId="6C3ED94A">
      <w:pPr>
        <w:spacing w:line="360" w:lineRule="auto"/>
        <w:jc w:val="center"/>
        <w:rPr>
          <w:rFonts w:ascii="Times New Roman" w:hAnsi="Times New Roman" w:eastAsia="宋体" w:cs="Times New Roman"/>
          <w:b/>
          <w:sz w:val="32"/>
          <w:szCs w:val="32"/>
        </w:rPr>
      </w:pPr>
    </w:p>
    <w:p w14:paraId="6114CE52">
      <w:pPr>
        <w:spacing w:line="360" w:lineRule="auto"/>
        <w:jc w:val="center"/>
        <w:rPr>
          <w:rFonts w:ascii="Times New Roman" w:hAnsi="Times New Roman" w:eastAsia="宋体" w:cs="Times New Roman"/>
          <w:b/>
          <w:sz w:val="32"/>
          <w:szCs w:val="32"/>
        </w:rPr>
      </w:pPr>
    </w:p>
    <w:p w14:paraId="2A53157B">
      <w:pPr>
        <w:spacing w:line="360" w:lineRule="auto"/>
        <w:jc w:val="center"/>
        <w:rPr>
          <w:rFonts w:ascii="Times New Roman" w:hAnsi="Times New Roman" w:eastAsia="宋体" w:cs="Times New Roman"/>
          <w:b/>
          <w:sz w:val="32"/>
          <w:szCs w:val="32"/>
        </w:rPr>
      </w:pPr>
    </w:p>
    <w:p w14:paraId="6468795A">
      <w:pPr>
        <w:spacing w:line="360" w:lineRule="auto"/>
        <w:jc w:val="center"/>
        <w:rPr>
          <w:rFonts w:ascii="Times New Roman" w:hAnsi="Times New Roman" w:eastAsia="宋体" w:cs="Times New Roman"/>
          <w:b/>
          <w:sz w:val="32"/>
          <w:szCs w:val="32"/>
        </w:rPr>
      </w:pPr>
    </w:p>
    <w:p w14:paraId="751EF853">
      <w:pPr>
        <w:spacing w:line="360" w:lineRule="auto"/>
        <w:jc w:val="center"/>
        <w:rPr>
          <w:rFonts w:ascii="Times New Roman" w:hAnsi="Times New Roman" w:eastAsia="宋体" w:cs="Times New Roman"/>
          <w:b/>
          <w:sz w:val="32"/>
          <w:szCs w:val="32"/>
        </w:rPr>
      </w:pPr>
    </w:p>
    <w:p w14:paraId="35435B1A">
      <w:pPr>
        <w:spacing w:line="360" w:lineRule="auto"/>
        <w:jc w:val="center"/>
        <w:rPr>
          <w:rFonts w:ascii="Times New Roman" w:hAnsi="Times New Roman" w:eastAsia="宋体" w:cs="Times New Roman"/>
          <w:b/>
          <w:sz w:val="32"/>
          <w:szCs w:val="32"/>
        </w:rPr>
      </w:pPr>
    </w:p>
    <w:p w14:paraId="504C5477">
      <w:pPr>
        <w:spacing w:line="360" w:lineRule="auto"/>
        <w:jc w:val="center"/>
        <w:rPr>
          <w:rFonts w:ascii="Times New Roman" w:hAnsi="Times New Roman" w:eastAsia="宋体" w:cs="Times New Roman"/>
          <w:b/>
          <w:sz w:val="32"/>
          <w:szCs w:val="32"/>
        </w:rPr>
      </w:pPr>
      <w:r>
        <w:rPr>
          <w:rFonts w:ascii="Times New Roman" w:hAnsi="Times New Roman" w:eastAsia="宋体" w:cs="Times New Roman"/>
          <w:b/>
          <w:sz w:val="32"/>
          <w:szCs w:val="32"/>
        </w:rPr>
        <w:t>9、验收监测结果</w:t>
      </w:r>
      <w:bookmarkEnd w:id="60"/>
    </w:p>
    <w:p w14:paraId="7766FDCB">
      <w:pPr>
        <w:pStyle w:val="50"/>
        <w:spacing w:line="360" w:lineRule="auto"/>
        <w:ind w:firstLine="0" w:firstLineChars="0"/>
        <w:jc w:val="left"/>
        <w:outlineLvl w:val="1"/>
        <w:rPr>
          <w:rFonts w:hint="default" w:ascii="Times New Roman" w:hAnsi="Times New Roman" w:eastAsia="宋体" w:cs="Times New Roman"/>
          <w:b/>
          <w:color w:val="auto"/>
          <w:sz w:val="28"/>
          <w:szCs w:val="32"/>
        </w:rPr>
      </w:pPr>
      <w:bookmarkStart w:id="61" w:name="_Toc10630"/>
      <w:r>
        <w:rPr>
          <w:rFonts w:hint="default" w:ascii="Times New Roman" w:hAnsi="Times New Roman" w:eastAsia="宋体" w:cs="Times New Roman"/>
          <w:b/>
          <w:sz w:val="28"/>
          <w:szCs w:val="32"/>
        </w:rPr>
        <w:t>9.1生产工况</w:t>
      </w:r>
      <w:bookmarkEnd w:id="61"/>
    </w:p>
    <w:p w14:paraId="37231D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8"/>
        </w:rPr>
      </w:pPr>
      <w:r>
        <w:rPr>
          <w:rFonts w:hint="default" w:ascii="Times New Roman" w:hAnsi="Times New Roman" w:eastAsia="宋体" w:cs="Times New Roman"/>
          <w:color w:val="auto"/>
          <w:kern w:val="2"/>
          <w:sz w:val="24"/>
          <w:szCs w:val="28"/>
          <w:lang w:val="en-US" w:eastAsia="zh-CN" w:bidi="ar-SA"/>
        </w:rPr>
        <w:t>监测时间为202</w:t>
      </w:r>
      <w:r>
        <w:rPr>
          <w:rFonts w:hint="eastAsia" w:ascii="Times New Roman" w:hAnsi="Times New Roman" w:eastAsia="宋体" w:cs="Times New Roman"/>
          <w:color w:val="auto"/>
          <w:kern w:val="2"/>
          <w:sz w:val="24"/>
          <w:szCs w:val="28"/>
          <w:lang w:val="en-US" w:eastAsia="zh-CN" w:bidi="ar-SA"/>
        </w:rPr>
        <w:t>4</w:t>
      </w:r>
      <w:r>
        <w:rPr>
          <w:rFonts w:hint="default" w:ascii="Times New Roman" w:hAnsi="Times New Roman" w:eastAsia="宋体" w:cs="Times New Roman"/>
          <w:color w:val="auto"/>
          <w:kern w:val="2"/>
          <w:sz w:val="24"/>
          <w:szCs w:val="28"/>
          <w:lang w:val="en-US" w:eastAsia="zh-CN" w:bidi="ar-SA"/>
        </w:rPr>
        <w:t>年</w:t>
      </w:r>
      <w:r>
        <w:rPr>
          <w:rFonts w:hint="eastAsia" w:ascii="Times New Roman" w:hAnsi="Times New Roman" w:eastAsia="宋体" w:cs="Times New Roman"/>
          <w:color w:val="auto"/>
          <w:kern w:val="2"/>
          <w:sz w:val="24"/>
          <w:szCs w:val="28"/>
          <w:lang w:val="en-US" w:eastAsia="zh-CN" w:bidi="ar-SA"/>
        </w:rPr>
        <w:t>11</w:t>
      </w:r>
      <w:r>
        <w:rPr>
          <w:rFonts w:hint="default" w:ascii="Times New Roman" w:hAnsi="Times New Roman" w:eastAsia="宋体" w:cs="Times New Roman"/>
          <w:color w:val="auto"/>
          <w:kern w:val="2"/>
          <w:sz w:val="24"/>
          <w:szCs w:val="28"/>
          <w:lang w:val="en-US" w:eastAsia="zh-CN" w:bidi="ar-SA"/>
        </w:rPr>
        <w:t>月</w:t>
      </w:r>
      <w:r>
        <w:rPr>
          <w:rFonts w:hint="eastAsia" w:ascii="Times New Roman" w:hAnsi="Times New Roman" w:eastAsia="宋体" w:cs="Times New Roman"/>
          <w:color w:val="auto"/>
          <w:kern w:val="2"/>
          <w:sz w:val="24"/>
          <w:szCs w:val="28"/>
          <w:lang w:val="en-US" w:eastAsia="zh-CN" w:bidi="ar-SA"/>
        </w:rPr>
        <w:t>25</w:t>
      </w:r>
      <w:r>
        <w:rPr>
          <w:rFonts w:hint="default" w:ascii="Times New Roman" w:hAnsi="Times New Roman" w:eastAsia="宋体" w:cs="Times New Roman"/>
          <w:color w:val="auto"/>
          <w:kern w:val="2"/>
          <w:sz w:val="24"/>
          <w:szCs w:val="28"/>
          <w:lang w:val="en-US" w:eastAsia="zh-CN" w:bidi="ar-SA"/>
        </w:rPr>
        <w:t>日~</w:t>
      </w:r>
      <w:r>
        <w:rPr>
          <w:rFonts w:hint="eastAsia" w:ascii="Times New Roman" w:hAnsi="Times New Roman" w:eastAsia="宋体" w:cs="Times New Roman"/>
          <w:color w:val="auto"/>
          <w:kern w:val="2"/>
          <w:sz w:val="24"/>
          <w:szCs w:val="28"/>
          <w:lang w:val="en-US" w:eastAsia="zh-CN" w:bidi="ar-SA"/>
        </w:rPr>
        <w:t>11</w:t>
      </w:r>
      <w:r>
        <w:rPr>
          <w:rFonts w:hint="default" w:ascii="Times New Roman" w:hAnsi="Times New Roman" w:eastAsia="宋体" w:cs="Times New Roman"/>
          <w:color w:val="auto"/>
          <w:kern w:val="2"/>
          <w:sz w:val="24"/>
          <w:szCs w:val="28"/>
          <w:lang w:val="en-US" w:eastAsia="zh-CN" w:bidi="ar-SA"/>
        </w:rPr>
        <w:t>月</w:t>
      </w:r>
      <w:r>
        <w:rPr>
          <w:rFonts w:hint="eastAsia" w:ascii="Times New Roman" w:hAnsi="Times New Roman" w:eastAsia="宋体" w:cs="Times New Roman"/>
          <w:color w:val="auto"/>
          <w:kern w:val="2"/>
          <w:sz w:val="24"/>
          <w:szCs w:val="28"/>
          <w:lang w:val="en-US" w:eastAsia="zh-CN" w:bidi="ar-SA"/>
        </w:rPr>
        <w:t>26</w:t>
      </w:r>
      <w:r>
        <w:rPr>
          <w:rFonts w:hint="default" w:ascii="Times New Roman" w:hAnsi="Times New Roman" w:eastAsia="宋体" w:cs="Times New Roman"/>
          <w:color w:val="auto"/>
          <w:kern w:val="2"/>
          <w:sz w:val="24"/>
          <w:szCs w:val="28"/>
          <w:lang w:val="en-US" w:eastAsia="zh-CN" w:bidi="ar-SA"/>
        </w:rPr>
        <w:t>日。监测期间，项目各生产设施开启运行，该项目年生产300天，本次验收范围为</w:t>
      </w:r>
      <w:r>
        <w:rPr>
          <w:rFonts w:hint="eastAsia" w:ascii="Times New Roman" w:hAnsi="Times New Roman" w:eastAsia="宋体" w:cs="Times New Roman"/>
          <w:color w:val="auto"/>
          <w:sz w:val="24"/>
          <w:szCs w:val="24"/>
          <w:lang w:val="en-US" w:eastAsia="zh-CN"/>
        </w:rPr>
        <w:t>年产10000吨食品添加剂生产线和塑料包装桶生产线</w:t>
      </w:r>
      <w:r>
        <w:rPr>
          <w:rFonts w:hint="default" w:ascii="Times New Roman" w:hAnsi="Times New Roman" w:eastAsia="宋体" w:cs="Times New Roman"/>
          <w:color w:val="auto"/>
          <w:kern w:val="2"/>
          <w:sz w:val="24"/>
          <w:szCs w:val="28"/>
          <w:lang w:val="en-US" w:eastAsia="zh-CN" w:bidi="ar-SA"/>
        </w:rPr>
        <w:t>以及配套的环保设备。监测期间加工厂生产负荷</w:t>
      </w:r>
      <w:r>
        <w:rPr>
          <w:rFonts w:hint="default" w:ascii="Times New Roman" w:hAnsi="Times New Roman" w:cs="Times New Roman"/>
          <w:color w:val="auto"/>
          <w:sz w:val="24"/>
          <w:szCs w:val="28"/>
        </w:rPr>
        <w:t>达到设计生产负荷的</w:t>
      </w:r>
      <w:r>
        <w:rPr>
          <w:rFonts w:hint="eastAsia" w:ascii="Times New Roman" w:hAnsi="Times New Roman" w:cs="Times New Roman"/>
          <w:color w:val="auto"/>
          <w:sz w:val="24"/>
          <w:szCs w:val="28"/>
          <w:lang w:val="en-US" w:eastAsia="zh-CN"/>
        </w:rPr>
        <w:t>100</w:t>
      </w:r>
      <w:r>
        <w:rPr>
          <w:rFonts w:hint="default" w:ascii="Times New Roman" w:hAnsi="Times New Roman" w:cs="Times New Roman"/>
          <w:color w:val="auto"/>
          <w:sz w:val="24"/>
          <w:szCs w:val="28"/>
        </w:rPr>
        <w:t>%，工况稳定且环保设施运行正常，满足验收应在工况稳定、生产负荷达到设计生产能力的</w:t>
      </w:r>
      <w:r>
        <w:rPr>
          <w:rFonts w:hint="default" w:ascii="Times New Roman" w:hAnsi="Times New Roman" w:cs="Times New Roman"/>
          <w:color w:val="auto"/>
          <w:sz w:val="24"/>
          <w:szCs w:val="28"/>
          <w:lang w:val="en-US" w:eastAsia="zh-CN"/>
        </w:rPr>
        <w:t>80</w:t>
      </w:r>
      <w:r>
        <w:rPr>
          <w:rFonts w:hint="default" w:ascii="Times New Roman" w:hAnsi="Times New Roman" w:cs="Times New Roman"/>
          <w:color w:val="auto"/>
          <w:sz w:val="24"/>
          <w:szCs w:val="28"/>
        </w:rPr>
        <w:t>%以上的情况下进行的要求，监测数据具有代表性。</w:t>
      </w:r>
    </w:p>
    <w:p w14:paraId="7B7C82C3">
      <w:pPr>
        <w:pStyle w:val="3"/>
        <w:spacing w:after="0" w:line="240" w:lineRule="auto"/>
        <w:ind w:left="0"/>
        <w:jc w:val="center"/>
        <w:rPr>
          <w:rFonts w:hint="default" w:ascii="Times New Roman" w:hAnsi="Times New Roman" w:cs="Times New Roman"/>
          <w:b/>
          <w:color w:val="auto"/>
          <w:sz w:val="22"/>
          <w:szCs w:val="24"/>
        </w:rPr>
      </w:pPr>
      <w:r>
        <w:rPr>
          <w:rFonts w:hint="default" w:ascii="Times New Roman" w:hAnsi="Times New Roman" w:cs="Times New Roman"/>
          <w:b/>
          <w:color w:val="auto"/>
          <w:sz w:val="22"/>
          <w:szCs w:val="24"/>
        </w:rPr>
        <w:t>表 9-1 生产工况</w:t>
      </w:r>
    </w:p>
    <w:tbl>
      <w:tblPr>
        <w:tblStyle w:val="3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25"/>
        <w:gridCol w:w="2250"/>
        <w:gridCol w:w="1662"/>
        <w:gridCol w:w="1571"/>
        <w:gridCol w:w="1778"/>
      </w:tblGrid>
      <w:tr w14:paraId="78522A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090" w:type="pct"/>
            <w:vAlign w:val="center"/>
          </w:tcPr>
          <w:p w14:paraId="41C71522">
            <w:pPr>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产品种类</w:t>
            </w:r>
          </w:p>
        </w:tc>
        <w:tc>
          <w:tcPr>
            <w:tcW w:w="1211" w:type="pct"/>
            <w:vAlign w:val="center"/>
          </w:tcPr>
          <w:p w14:paraId="65BAD553">
            <w:pPr>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监测日期</w:t>
            </w:r>
          </w:p>
        </w:tc>
        <w:tc>
          <w:tcPr>
            <w:tcW w:w="894" w:type="pct"/>
            <w:vAlign w:val="center"/>
          </w:tcPr>
          <w:p w14:paraId="6D8D6C7B">
            <w:pPr>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设计生产规模</w:t>
            </w:r>
          </w:p>
        </w:tc>
        <w:tc>
          <w:tcPr>
            <w:tcW w:w="845" w:type="pct"/>
            <w:vAlign w:val="center"/>
          </w:tcPr>
          <w:p w14:paraId="63CA5EF2">
            <w:pPr>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实际生产规模</w:t>
            </w:r>
          </w:p>
        </w:tc>
        <w:tc>
          <w:tcPr>
            <w:tcW w:w="957" w:type="pct"/>
            <w:vAlign w:val="center"/>
          </w:tcPr>
          <w:p w14:paraId="149C96B9">
            <w:pPr>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生产负荷</w:t>
            </w:r>
          </w:p>
        </w:tc>
      </w:tr>
      <w:tr w14:paraId="72CC65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090" w:type="pct"/>
            <w:vAlign w:val="center"/>
          </w:tcPr>
          <w:p w14:paraId="0DC47CEA">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食品添加剂冰醋酸</w:t>
            </w:r>
          </w:p>
        </w:tc>
        <w:tc>
          <w:tcPr>
            <w:tcW w:w="1211" w:type="pct"/>
            <w:vMerge w:val="restart"/>
            <w:vAlign w:val="center"/>
          </w:tcPr>
          <w:p w14:paraId="1992E98A">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11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lang w:val="en-US" w:eastAsia="zh-CN"/>
              </w:rPr>
              <w:t>-202</w:t>
            </w:r>
            <w:r>
              <w:rPr>
                <w:rFonts w:hint="eastAsia" w:ascii="Times New Roman" w:hAnsi="Times New Roman" w:eastAsia="宋体" w:cs="Times New Roman"/>
                <w:color w:val="auto"/>
                <w:szCs w:val="21"/>
                <w:lang w:val="en-US" w:eastAsia="zh-CN"/>
              </w:rPr>
              <w:t>4.11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26</w:t>
            </w:r>
          </w:p>
        </w:tc>
        <w:tc>
          <w:tcPr>
            <w:tcW w:w="894" w:type="pct"/>
            <w:vAlign w:val="center"/>
          </w:tcPr>
          <w:p w14:paraId="34BEA9E8">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10000吨/年</w:t>
            </w:r>
          </w:p>
        </w:tc>
        <w:tc>
          <w:tcPr>
            <w:tcW w:w="845" w:type="pct"/>
            <w:vAlign w:val="center"/>
          </w:tcPr>
          <w:p w14:paraId="5A6909E2">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10000吨/年</w:t>
            </w:r>
          </w:p>
        </w:tc>
        <w:tc>
          <w:tcPr>
            <w:tcW w:w="957" w:type="pct"/>
            <w:vAlign w:val="center"/>
          </w:tcPr>
          <w:p w14:paraId="652FA08A">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100</w:t>
            </w:r>
            <w:r>
              <w:rPr>
                <w:rFonts w:hint="default" w:ascii="Times New Roman" w:hAnsi="Times New Roman" w:eastAsia="宋体" w:cs="Times New Roman"/>
                <w:color w:val="auto"/>
                <w:szCs w:val="21"/>
              </w:rPr>
              <w:t>%</w:t>
            </w:r>
          </w:p>
        </w:tc>
      </w:tr>
      <w:tr w14:paraId="450DD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090" w:type="pct"/>
            <w:tcBorders>
              <w:bottom w:val="single" w:color="auto" w:sz="4" w:space="0"/>
            </w:tcBorders>
            <w:vAlign w:val="center"/>
          </w:tcPr>
          <w:p w14:paraId="74CC72E0">
            <w:pPr>
              <w:spacing w:line="300" w:lineRule="exact"/>
              <w:jc w:val="center"/>
              <w:rPr>
                <w:rFonts w:hint="default" w:ascii="Times New Roman" w:hAnsi="Times New Roman" w:eastAsia="宋体" w:cs="Times New Roman"/>
                <w:color w:val="auto"/>
                <w:szCs w:val="21"/>
                <w:lang w:val="en-US" w:eastAsia="zh-CN"/>
              </w:rPr>
            </w:pPr>
            <w:bookmarkStart w:id="62" w:name="_Toc23462"/>
            <w:bookmarkStart w:id="63" w:name="_Toc8087"/>
            <w:r>
              <w:rPr>
                <w:rFonts w:hint="eastAsia" w:ascii="Times New Roman" w:hAnsi="Times New Roman" w:eastAsia="宋体" w:cs="Times New Roman"/>
                <w:color w:val="auto"/>
                <w:szCs w:val="21"/>
                <w:lang w:val="en-US" w:eastAsia="zh-CN"/>
              </w:rPr>
              <w:t>塑料包装桶</w:t>
            </w:r>
          </w:p>
        </w:tc>
        <w:tc>
          <w:tcPr>
            <w:tcW w:w="1211" w:type="pct"/>
            <w:vMerge w:val="continue"/>
            <w:tcBorders>
              <w:bottom w:val="single" w:color="auto" w:sz="4" w:space="0"/>
            </w:tcBorders>
            <w:vAlign w:val="center"/>
          </w:tcPr>
          <w:p w14:paraId="0D70B014">
            <w:pPr>
              <w:spacing w:line="300" w:lineRule="exact"/>
              <w:jc w:val="center"/>
              <w:rPr>
                <w:rFonts w:hint="default" w:ascii="Times New Roman" w:hAnsi="Times New Roman" w:eastAsia="宋体" w:cs="Times New Roman"/>
                <w:color w:val="auto"/>
                <w:szCs w:val="21"/>
                <w:lang w:val="en-US" w:eastAsia="zh-CN"/>
              </w:rPr>
            </w:pPr>
          </w:p>
        </w:tc>
        <w:tc>
          <w:tcPr>
            <w:tcW w:w="894" w:type="pct"/>
            <w:vAlign w:val="center"/>
          </w:tcPr>
          <w:p w14:paraId="40A998D4">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60吨/年</w:t>
            </w:r>
          </w:p>
        </w:tc>
        <w:tc>
          <w:tcPr>
            <w:tcW w:w="845" w:type="pct"/>
            <w:vAlign w:val="center"/>
          </w:tcPr>
          <w:p w14:paraId="421461F7">
            <w:pPr>
              <w:spacing w:line="3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60吨/年</w:t>
            </w:r>
          </w:p>
        </w:tc>
        <w:tc>
          <w:tcPr>
            <w:tcW w:w="957" w:type="pct"/>
            <w:vAlign w:val="center"/>
          </w:tcPr>
          <w:p w14:paraId="27EED8DD">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r>
              <w:rPr>
                <w:rFonts w:hint="default" w:ascii="Times New Roman" w:hAnsi="Times New Roman" w:eastAsia="宋体" w:cs="Times New Roman"/>
                <w:color w:val="auto"/>
                <w:szCs w:val="21"/>
              </w:rPr>
              <w:t>%</w:t>
            </w:r>
          </w:p>
        </w:tc>
      </w:tr>
    </w:tbl>
    <w:p w14:paraId="1556EEC6">
      <w:pPr>
        <w:pStyle w:val="50"/>
        <w:spacing w:line="360" w:lineRule="auto"/>
        <w:ind w:firstLine="0" w:firstLineChars="0"/>
        <w:jc w:val="left"/>
        <w:outlineLvl w:val="1"/>
        <w:rPr>
          <w:rFonts w:hint="default" w:ascii="Times New Roman" w:hAnsi="Times New Roman" w:eastAsia="宋体" w:cs="Times New Roman"/>
          <w:b/>
          <w:color w:val="auto"/>
          <w:sz w:val="28"/>
          <w:szCs w:val="32"/>
        </w:rPr>
      </w:pPr>
      <w:r>
        <w:rPr>
          <w:rFonts w:hint="default" w:ascii="Times New Roman" w:hAnsi="Times New Roman" w:eastAsia="宋体" w:cs="Times New Roman"/>
          <w:b/>
          <w:color w:val="auto"/>
          <w:sz w:val="28"/>
          <w:szCs w:val="32"/>
        </w:rPr>
        <w:t>9.2环保设施调试运行效果</w:t>
      </w:r>
      <w:bookmarkEnd w:id="62"/>
      <w:bookmarkEnd w:id="63"/>
    </w:p>
    <w:p w14:paraId="63E16497">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9.2.1污染物达标排放监测结果</w:t>
      </w:r>
    </w:p>
    <w:p w14:paraId="10E2B3B3">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9.2.1.1废水</w:t>
      </w:r>
    </w:p>
    <w:p w14:paraId="57B5B4D3">
      <w:pPr>
        <w:pStyle w:val="50"/>
        <w:numPr>
          <w:ilvl w:val="0"/>
          <w:numId w:val="5"/>
        </w:numPr>
        <w:spacing w:line="360" w:lineRule="auto"/>
        <w:ind w:firstLine="0" w:firstLineChars="0"/>
        <w:jc w:val="left"/>
        <w:rPr>
          <w:rFonts w:hint="eastAsia"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废水监测结果</w:t>
      </w:r>
    </w:p>
    <w:p w14:paraId="7533CA1D">
      <w:pPr>
        <w:pStyle w:val="50"/>
        <w:numPr>
          <w:ilvl w:val="0"/>
          <w:numId w:val="0"/>
        </w:numPr>
        <w:spacing w:line="360" w:lineRule="auto"/>
        <w:ind w:firstLine="480" w:firstLineChars="200"/>
        <w:jc w:val="both"/>
        <w:rPr>
          <w:rFonts w:hint="eastAsia"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废水监测结果见表9-2</w:t>
      </w:r>
    </w:p>
    <w:p w14:paraId="46526257">
      <w:pPr>
        <w:pStyle w:val="50"/>
        <w:numPr>
          <w:ilvl w:val="0"/>
          <w:numId w:val="0"/>
        </w:numPr>
        <w:spacing w:line="360" w:lineRule="auto"/>
        <w:jc w:val="center"/>
        <w:rPr>
          <w:rFonts w:hint="default"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表9-2（1）废水监测结果一览表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142"/>
        <w:gridCol w:w="1326"/>
        <w:gridCol w:w="1018"/>
        <w:gridCol w:w="1118"/>
        <w:gridCol w:w="1118"/>
        <w:gridCol w:w="1120"/>
        <w:gridCol w:w="1137"/>
      </w:tblGrid>
      <w:tr w14:paraId="1E97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1" w:type="pct"/>
            <w:vMerge w:val="restart"/>
            <w:noWrap w:val="0"/>
            <w:vAlign w:val="center"/>
          </w:tcPr>
          <w:p w14:paraId="04BE2B09">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采样日期</w:t>
            </w:r>
          </w:p>
        </w:tc>
        <w:tc>
          <w:tcPr>
            <w:tcW w:w="615" w:type="pct"/>
            <w:vMerge w:val="restart"/>
            <w:noWrap w:val="0"/>
            <w:vAlign w:val="center"/>
          </w:tcPr>
          <w:p w14:paraId="05F0263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采样点位</w:t>
            </w:r>
          </w:p>
        </w:tc>
        <w:tc>
          <w:tcPr>
            <w:tcW w:w="714" w:type="pct"/>
            <w:vMerge w:val="restart"/>
            <w:noWrap w:val="0"/>
            <w:vAlign w:val="center"/>
          </w:tcPr>
          <w:p w14:paraId="7DE7074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548" w:type="pct"/>
            <w:vMerge w:val="restart"/>
            <w:noWrap w:val="0"/>
            <w:vAlign w:val="center"/>
          </w:tcPr>
          <w:p w14:paraId="7DEF514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2419" w:type="pct"/>
            <w:gridSpan w:val="4"/>
            <w:noWrap w:val="0"/>
            <w:vAlign w:val="center"/>
          </w:tcPr>
          <w:p w14:paraId="5550FCB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检测结果</w:t>
            </w:r>
          </w:p>
        </w:tc>
      </w:tr>
      <w:tr w14:paraId="3B95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80723F6">
            <w:pPr>
              <w:jc w:val="center"/>
              <w:rPr>
                <w:rFonts w:hint="default" w:ascii="Times New Roman" w:hAnsi="Times New Roman" w:eastAsia="宋体" w:cs="Times New Roman"/>
                <w:b/>
                <w:bCs/>
                <w:color w:val="000000"/>
                <w:sz w:val="21"/>
                <w:szCs w:val="21"/>
              </w:rPr>
            </w:pPr>
          </w:p>
        </w:tc>
        <w:tc>
          <w:tcPr>
            <w:tcW w:w="615" w:type="pct"/>
            <w:vMerge w:val="continue"/>
            <w:noWrap w:val="0"/>
            <w:vAlign w:val="center"/>
          </w:tcPr>
          <w:p w14:paraId="0A2D8AED">
            <w:pPr>
              <w:jc w:val="center"/>
              <w:rPr>
                <w:rFonts w:hint="default" w:ascii="Times New Roman" w:hAnsi="Times New Roman" w:eastAsia="宋体" w:cs="Times New Roman"/>
                <w:b/>
                <w:bCs/>
                <w:color w:val="auto"/>
                <w:sz w:val="21"/>
                <w:szCs w:val="21"/>
              </w:rPr>
            </w:pPr>
          </w:p>
        </w:tc>
        <w:tc>
          <w:tcPr>
            <w:tcW w:w="714" w:type="pct"/>
            <w:vMerge w:val="continue"/>
            <w:noWrap w:val="0"/>
            <w:vAlign w:val="center"/>
          </w:tcPr>
          <w:p w14:paraId="604B932C">
            <w:pPr>
              <w:jc w:val="center"/>
              <w:rPr>
                <w:rFonts w:hint="default" w:ascii="Times New Roman" w:hAnsi="Times New Roman" w:eastAsia="宋体" w:cs="Times New Roman"/>
                <w:b/>
                <w:bCs/>
                <w:color w:val="auto"/>
                <w:sz w:val="21"/>
                <w:szCs w:val="21"/>
              </w:rPr>
            </w:pPr>
          </w:p>
        </w:tc>
        <w:tc>
          <w:tcPr>
            <w:tcW w:w="548" w:type="pct"/>
            <w:vMerge w:val="continue"/>
            <w:noWrap w:val="0"/>
            <w:vAlign w:val="center"/>
          </w:tcPr>
          <w:p w14:paraId="6FE6EF0E">
            <w:pPr>
              <w:jc w:val="center"/>
              <w:rPr>
                <w:rFonts w:hint="default" w:ascii="Times New Roman" w:hAnsi="Times New Roman" w:eastAsia="宋体" w:cs="Times New Roman"/>
                <w:b/>
                <w:bCs/>
                <w:color w:val="auto"/>
                <w:sz w:val="21"/>
                <w:szCs w:val="21"/>
              </w:rPr>
            </w:pPr>
          </w:p>
        </w:tc>
        <w:tc>
          <w:tcPr>
            <w:tcW w:w="602" w:type="pct"/>
            <w:noWrap w:val="0"/>
            <w:vAlign w:val="center"/>
          </w:tcPr>
          <w:p w14:paraId="42A4FC00">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第一次</w:t>
            </w:r>
          </w:p>
        </w:tc>
        <w:tc>
          <w:tcPr>
            <w:tcW w:w="602" w:type="pct"/>
            <w:noWrap w:val="0"/>
            <w:vAlign w:val="center"/>
          </w:tcPr>
          <w:p w14:paraId="0EA85D6E">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第二次</w:t>
            </w:r>
          </w:p>
        </w:tc>
        <w:tc>
          <w:tcPr>
            <w:tcW w:w="603" w:type="pct"/>
            <w:noWrap w:val="0"/>
            <w:vAlign w:val="center"/>
          </w:tcPr>
          <w:p w14:paraId="0A95D3AB">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第三次</w:t>
            </w:r>
          </w:p>
        </w:tc>
        <w:tc>
          <w:tcPr>
            <w:tcW w:w="610" w:type="pct"/>
            <w:noWrap w:val="0"/>
            <w:vAlign w:val="center"/>
          </w:tcPr>
          <w:p w14:paraId="657EE226">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第四次</w:t>
            </w:r>
          </w:p>
        </w:tc>
      </w:tr>
      <w:tr w14:paraId="3447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1" w:type="pct"/>
            <w:vMerge w:val="restart"/>
            <w:noWrap w:val="0"/>
            <w:vAlign w:val="center"/>
          </w:tcPr>
          <w:p w14:paraId="753D00ED">
            <w:pPr>
              <w:pStyle w:val="1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2024.11.25</w:t>
            </w:r>
          </w:p>
        </w:tc>
        <w:tc>
          <w:tcPr>
            <w:tcW w:w="615" w:type="pct"/>
            <w:vMerge w:val="restart"/>
            <w:noWrap w:val="0"/>
            <w:vAlign w:val="center"/>
          </w:tcPr>
          <w:p w14:paraId="0AFBA2B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一体化污水处理站进口</w:t>
            </w:r>
          </w:p>
        </w:tc>
        <w:tc>
          <w:tcPr>
            <w:tcW w:w="714" w:type="pct"/>
            <w:vMerge w:val="restart"/>
            <w:noWrap w:val="0"/>
            <w:vAlign w:val="center"/>
          </w:tcPr>
          <w:p w14:paraId="6F187C3B">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pH值</w:t>
            </w:r>
          </w:p>
        </w:tc>
        <w:tc>
          <w:tcPr>
            <w:tcW w:w="548" w:type="pct"/>
            <w:noWrap w:val="0"/>
            <w:vAlign w:val="center"/>
          </w:tcPr>
          <w:p w14:paraId="6D5225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无量纲</w:t>
            </w:r>
          </w:p>
        </w:tc>
        <w:tc>
          <w:tcPr>
            <w:tcW w:w="602" w:type="pct"/>
            <w:noWrap w:val="0"/>
            <w:vAlign w:val="center"/>
          </w:tcPr>
          <w:p w14:paraId="193F9F8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602" w:type="pct"/>
            <w:noWrap w:val="0"/>
            <w:vAlign w:val="center"/>
          </w:tcPr>
          <w:p w14:paraId="06C22E0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7.9</w:t>
            </w:r>
          </w:p>
        </w:tc>
        <w:tc>
          <w:tcPr>
            <w:tcW w:w="603" w:type="pct"/>
            <w:noWrap w:val="0"/>
            <w:vAlign w:val="center"/>
          </w:tcPr>
          <w:p w14:paraId="029730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610" w:type="pct"/>
            <w:noWrap w:val="0"/>
            <w:vAlign w:val="center"/>
          </w:tcPr>
          <w:p w14:paraId="0BF4738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8.1</w:t>
            </w:r>
          </w:p>
        </w:tc>
      </w:tr>
      <w:tr w14:paraId="12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3E5747A8">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0B817229">
            <w:pPr>
              <w:jc w:val="center"/>
              <w:rPr>
                <w:rFonts w:hint="default" w:ascii="Times New Roman" w:hAnsi="Times New Roman" w:eastAsia="宋体" w:cs="Times New Roman"/>
                <w:color w:val="auto"/>
                <w:sz w:val="21"/>
                <w:szCs w:val="21"/>
              </w:rPr>
            </w:pPr>
          </w:p>
        </w:tc>
        <w:tc>
          <w:tcPr>
            <w:tcW w:w="714" w:type="pct"/>
            <w:vMerge w:val="continue"/>
            <w:noWrap w:val="0"/>
            <w:vAlign w:val="center"/>
          </w:tcPr>
          <w:p w14:paraId="37630404">
            <w:pPr>
              <w:jc w:val="center"/>
              <w:rPr>
                <w:rFonts w:hint="default" w:ascii="Times New Roman" w:hAnsi="Times New Roman" w:eastAsia="宋体" w:cs="Times New Roman"/>
                <w:color w:val="auto"/>
                <w:sz w:val="21"/>
                <w:szCs w:val="21"/>
              </w:rPr>
            </w:pPr>
          </w:p>
        </w:tc>
        <w:tc>
          <w:tcPr>
            <w:tcW w:w="548" w:type="pct"/>
            <w:noWrap w:val="0"/>
            <w:vAlign w:val="center"/>
          </w:tcPr>
          <w:p w14:paraId="6A2E7208">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w:t>
            </w:r>
          </w:p>
        </w:tc>
        <w:tc>
          <w:tcPr>
            <w:tcW w:w="602" w:type="pct"/>
            <w:noWrap w:val="0"/>
            <w:vAlign w:val="center"/>
          </w:tcPr>
          <w:p w14:paraId="362D843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16.5</w:t>
            </w:r>
          </w:p>
        </w:tc>
        <w:tc>
          <w:tcPr>
            <w:tcW w:w="602" w:type="pct"/>
            <w:noWrap w:val="0"/>
            <w:vAlign w:val="center"/>
          </w:tcPr>
          <w:p w14:paraId="681CF92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17.9</w:t>
            </w:r>
          </w:p>
        </w:tc>
        <w:tc>
          <w:tcPr>
            <w:tcW w:w="603" w:type="pct"/>
            <w:noWrap w:val="0"/>
            <w:vAlign w:val="center"/>
          </w:tcPr>
          <w:p w14:paraId="70F7695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17.6</w:t>
            </w:r>
          </w:p>
        </w:tc>
        <w:tc>
          <w:tcPr>
            <w:tcW w:w="610" w:type="pct"/>
            <w:noWrap w:val="0"/>
            <w:vAlign w:val="center"/>
          </w:tcPr>
          <w:p w14:paraId="5AE55D6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16.8</w:t>
            </w:r>
          </w:p>
        </w:tc>
      </w:tr>
      <w:tr w14:paraId="048D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5226C3F0">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0F1BB7F2">
            <w:pPr>
              <w:jc w:val="center"/>
              <w:rPr>
                <w:rFonts w:hint="default" w:ascii="Times New Roman" w:hAnsi="Times New Roman" w:eastAsia="宋体" w:cs="Times New Roman"/>
                <w:color w:val="auto"/>
                <w:sz w:val="21"/>
                <w:szCs w:val="21"/>
              </w:rPr>
            </w:pPr>
          </w:p>
        </w:tc>
        <w:tc>
          <w:tcPr>
            <w:tcW w:w="714" w:type="pct"/>
            <w:noWrap w:val="0"/>
            <w:vAlign w:val="center"/>
          </w:tcPr>
          <w:p w14:paraId="4C8DFB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化学需氧量</w:t>
            </w:r>
          </w:p>
        </w:tc>
        <w:tc>
          <w:tcPr>
            <w:tcW w:w="548" w:type="pct"/>
            <w:noWrap w:val="0"/>
            <w:vAlign w:val="center"/>
          </w:tcPr>
          <w:p w14:paraId="5EAD4054">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480A00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w:t>
            </w:r>
          </w:p>
        </w:tc>
        <w:tc>
          <w:tcPr>
            <w:tcW w:w="602" w:type="pct"/>
            <w:noWrap w:val="0"/>
            <w:vAlign w:val="center"/>
          </w:tcPr>
          <w:p w14:paraId="5654780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209</w:t>
            </w:r>
          </w:p>
        </w:tc>
        <w:tc>
          <w:tcPr>
            <w:tcW w:w="603" w:type="pct"/>
            <w:noWrap w:val="0"/>
            <w:vAlign w:val="center"/>
          </w:tcPr>
          <w:p w14:paraId="6AAC107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208</w:t>
            </w:r>
          </w:p>
        </w:tc>
        <w:tc>
          <w:tcPr>
            <w:tcW w:w="610" w:type="pct"/>
            <w:noWrap w:val="0"/>
            <w:vAlign w:val="center"/>
          </w:tcPr>
          <w:p w14:paraId="0D19F8F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204</w:t>
            </w:r>
          </w:p>
        </w:tc>
      </w:tr>
      <w:tr w14:paraId="6BC9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63AAA3C8">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5EBBFD52">
            <w:pPr>
              <w:jc w:val="center"/>
              <w:rPr>
                <w:rFonts w:hint="default" w:ascii="Times New Roman" w:hAnsi="Times New Roman" w:eastAsia="宋体" w:cs="Times New Roman"/>
                <w:color w:val="auto"/>
                <w:sz w:val="21"/>
                <w:szCs w:val="21"/>
              </w:rPr>
            </w:pPr>
          </w:p>
        </w:tc>
        <w:tc>
          <w:tcPr>
            <w:tcW w:w="714" w:type="pct"/>
            <w:noWrap w:val="0"/>
            <w:vAlign w:val="center"/>
          </w:tcPr>
          <w:p w14:paraId="425DE7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氨氮</w:t>
            </w:r>
          </w:p>
        </w:tc>
        <w:tc>
          <w:tcPr>
            <w:tcW w:w="548" w:type="pct"/>
            <w:noWrap w:val="0"/>
            <w:vAlign w:val="center"/>
          </w:tcPr>
          <w:p w14:paraId="7F5F94A4">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1118" w:type="dxa"/>
            <w:noWrap w:val="0"/>
            <w:vAlign w:val="center"/>
          </w:tcPr>
          <w:p w14:paraId="5294473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7.82</w:t>
            </w:r>
          </w:p>
        </w:tc>
        <w:tc>
          <w:tcPr>
            <w:tcW w:w="1118" w:type="dxa"/>
            <w:noWrap w:val="0"/>
            <w:vAlign w:val="center"/>
          </w:tcPr>
          <w:p w14:paraId="6F61A294">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8.04</w:t>
            </w:r>
          </w:p>
        </w:tc>
        <w:tc>
          <w:tcPr>
            <w:tcW w:w="1120" w:type="dxa"/>
            <w:noWrap w:val="0"/>
            <w:vAlign w:val="center"/>
          </w:tcPr>
          <w:p w14:paraId="0FC4920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7.69</w:t>
            </w:r>
          </w:p>
        </w:tc>
        <w:tc>
          <w:tcPr>
            <w:tcW w:w="1137" w:type="dxa"/>
            <w:noWrap w:val="0"/>
            <w:vAlign w:val="center"/>
          </w:tcPr>
          <w:p w14:paraId="7B370A7D">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7.79</w:t>
            </w:r>
          </w:p>
        </w:tc>
      </w:tr>
      <w:tr w14:paraId="4F1F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1D50CDC9">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351E50B9">
            <w:pPr>
              <w:jc w:val="center"/>
              <w:rPr>
                <w:rFonts w:hint="default" w:ascii="Times New Roman" w:hAnsi="Times New Roman" w:eastAsia="宋体" w:cs="Times New Roman"/>
                <w:color w:val="auto"/>
                <w:sz w:val="21"/>
                <w:szCs w:val="21"/>
              </w:rPr>
            </w:pPr>
          </w:p>
        </w:tc>
        <w:tc>
          <w:tcPr>
            <w:tcW w:w="714" w:type="pct"/>
            <w:noWrap w:val="0"/>
            <w:vAlign w:val="center"/>
          </w:tcPr>
          <w:p w14:paraId="4C8550E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硫酸盐</w:t>
            </w:r>
          </w:p>
        </w:tc>
        <w:tc>
          <w:tcPr>
            <w:tcW w:w="548" w:type="pct"/>
            <w:noWrap w:val="0"/>
            <w:vAlign w:val="center"/>
          </w:tcPr>
          <w:p w14:paraId="2623FFE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77EC760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415</w:t>
            </w:r>
          </w:p>
        </w:tc>
        <w:tc>
          <w:tcPr>
            <w:tcW w:w="602" w:type="pct"/>
            <w:noWrap w:val="0"/>
            <w:vAlign w:val="center"/>
          </w:tcPr>
          <w:p w14:paraId="233B05A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447</w:t>
            </w:r>
          </w:p>
        </w:tc>
        <w:tc>
          <w:tcPr>
            <w:tcW w:w="603" w:type="pct"/>
            <w:noWrap w:val="0"/>
            <w:vAlign w:val="center"/>
          </w:tcPr>
          <w:p w14:paraId="2F35793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422</w:t>
            </w:r>
          </w:p>
        </w:tc>
        <w:tc>
          <w:tcPr>
            <w:tcW w:w="610" w:type="pct"/>
            <w:noWrap w:val="0"/>
            <w:vAlign w:val="center"/>
          </w:tcPr>
          <w:p w14:paraId="25960D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317</w:t>
            </w:r>
          </w:p>
        </w:tc>
      </w:tr>
      <w:tr w14:paraId="7D2E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A7774E5">
            <w:pPr>
              <w:pStyle w:val="11"/>
              <w:jc w:val="center"/>
              <w:rPr>
                <w:rFonts w:hint="default" w:ascii="Times New Roman" w:hAnsi="Times New Roman" w:eastAsia="宋体" w:cs="Times New Roman"/>
                <w:sz w:val="21"/>
                <w:szCs w:val="21"/>
                <w:lang w:val="en-US" w:eastAsia="zh-CN"/>
              </w:rPr>
            </w:pPr>
          </w:p>
        </w:tc>
        <w:tc>
          <w:tcPr>
            <w:tcW w:w="615" w:type="pct"/>
            <w:vMerge w:val="continue"/>
            <w:noWrap w:val="0"/>
            <w:vAlign w:val="center"/>
          </w:tcPr>
          <w:p w14:paraId="3B029461">
            <w:pPr>
              <w:jc w:val="center"/>
              <w:rPr>
                <w:rFonts w:hint="default" w:ascii="Times New Roman" w:hAnsi="Times New Roman" w:eastAsia="宋体" w:cs="Times New Roman"/>
                <w:color w:val="auto"/>
                <w:kern w:val="2"/>
                <w:sz w:val="21"/>
                <w:szCs w:val="21"/>
                <w:lang w:val="en-US" w:eastAsia="zh-CN" w:bidi="ar-SA"/>
              </w:rPr>
            </w:pPr>
          </w:p>
        </w:tc>
        <w:tc>
          <w:tcPr>
            <w:tcW w:w="714" w:type="pct"/>
            <w:noWrap w:val="0"/>
            <w:vAlign w:val="center"/>
          </w:tcPr>
          <w:p w14:paraId="750839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悬浮物</w:t>
            </w:r>
          </w:p>
        </w:tc>
        <w:tc>
          <w:tcPr>
            <w:tcW w:w="548" w:type="pct"/>
            <w:noWrap w:val="0"/>
            <w:vAlign w:val="center"/>
          </w:tcPr>
          <w:p w14:paraId="148718A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7B95A0D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101</w:t>
            </w:r>
          </w:p>
        </w:tc>
        <w:tc>
          <w:tcPr>
            <w:tcW w:w="602" w:type="pct"/>
            <w:noWrap w:val="0"/>
            <w:vAlign w:val="center"/>
          </w:tcPr>
          <w:p w14:paraId="63C48E0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114</w:t>
            </w:r>
          </w:p>
        </w:tc>
        <w:tc>
          <w:tcPr>
            <w:tcW w:w="603" w:type="pct"/>
            <w:noWrap w:val="0"/>
            <w:vAlign w:val="center"/>
          </w:tcPr>
          <w:p w14:paraId="63A3B10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109</w:t>
            </w:r>
          </w:p>
        </w:tc>
        <w:tc>
          <w:tcPr>
            <w:tcW w:w="610" w:type="pct"/>
            <w:noWrap w:val="0"/>
            <w:vAlign w:val="center"/>
          </w:tcPr>
          <w:p w14:paraId="39816EB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105</w:t>
            </w:r>
          </w:p>
        </w:tc>
      </w:tr>
      <w:tr w14:paraId="6BD6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59500BE1">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1ED2B272">
            <w:pPr>
              <w:jc w:val="center"/>
              <w:rPr>
                <w:rFonts w:hint="default" w:ascii="Times New Roman" w:hAnsi="Times New Roman" w:eastAsia="宋体" w:cs="Times New Roman"/>
                <w:color w:val="auto"/>
                <w:kern w:val="2"/>
                <w:sz w:val="21"/>
                <w:szCs w:val="21"/>
                <w:lang w:val="en-US" w:eastAsia="zh-CN" w:bidi="ar-SA"/>
              </w:rPr>
            </w:pPr>
          </w:p>
        </w:tc>
        <w:tc>
          <w:tcPr>
            <w:tcW w:w="714" w:type="pct"/>
            <w:noWrap w:val="0"/>
            <w:vAlign w:val="center"/>
          </w:tcPr>
          <w:p w14:paraId="3FF7E9D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全盐量</w:t>
            </w:r>
          </w:p>
        </w:tc>
        <w:tc>
          <w:tcPr>
            <w:tcW w:w="548" w:type="pct"/>
            <w:noWrap w:val="0"/>
            <w:vAlign w:val="center"/>
          </w:tcPr>
          <w:p w14:paraId="5D6409B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shd w:val="clear" w:color="auto" w:fill="auto"/>
            <w:noWrap w:val="0"/>
            <w:vAlign w:val="center"/>
          </w:tcPr>
          <w:p w14:paraId="7EF431C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2.21×10</w:t>
            </w:r>
            <w:r>
              <w:rPr>
                <w:rFonts w:hint="default" w:ascii="Times New Roman" w:hAnsi="Times New Roman" w:cs="Times New Roman"/>
                <w:color w:val="auto"/>
                <w:kern w:val="2"/>
                <w:sz w:val="21"/>
                <w:szCs w:val="21"/>
                <w:vertAlign w:val="superscript"/>
                <w:lang w:val="en-US" w:eastAsia="zh-CN" w:bidi="ar-SA"/>
              </w:rPr>
              <w:t>3</w:t>
            </w:r>
          </w:p>
        </w:tc>
        <w:tc>
          <w:tcPr>
            <w:tcW w:w="602" w:type="pct"/>
            <w:shd w:val="clear" w:color="auto" w:fill="auto"/>
            <w:noWrap w:val="0"/>
            <w:vAlign w:val="center"/>
          </w:tcPr>
          <w:p w14:paraId="1EC427D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2.01×10</w:t>
            </w:r>
            <w:r>
              <w:rPr>
                <w:rFonts w:hint="default" w:ascii="Times New Roman" w:hAnsi="Times New Roman" w:cs="Times New Roman"/>
                <w:color w:val="auto"/>
                <w:kern w:val="2"/>
                <w:sz w:val="21"/>
                <w:szCs w:val="21"/>
                <w:vertAlign w:val="superscript"/>
                <w:lang w:val="en-US" w:eastAsia="zh-CN" w:bidi="ar-SA"/>
              </w:rPr>
              <w:t>3</w:t>
            </w:r>
          </w:p>
        </w:tc>
        <w:tc>
          <w:tcPr>
            <w:tcW w:w="603" w:type="pct"/>
            <w:shd w:val="clear" w:color="auto" w:fill="auto"/>
            <w:noWrap w:val="0"/>
            <w:vAlign w:val="center"/>
          </w:tcPr>
          <w:p w14:paraId="144B92F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2.19×10</w:t>
            </w:r>
            <w:r>
              <w:rPr>
                <w:rFonts w:hint="default" w:ascii="Times New Roman" w:hAnsi="Times New Roman" w:cs="Times New Roman"/>
                <w:color w:val="auto"/>
                <w:kern w:val="2"/>
                <w:sz w:val="21"/>
                <w:szCs w:val="21"/>
                <w:vertAlign w:val="superscript"/>
                <w:lang w:val="en-US" w:eastAsia="zh-CN" w:bidi="ar-SA"/>
              </w:rPr>
              <w:t>3</w:t>
            </w:r>
          </w:p>
        </w:tc>
        <w:tc>
          <w:tcPr>
            <w:tcW w:w="610" w:type="pct"/>
            <w:shd w:val="clear" w:color="auto" w:fill="auto"/>
            <w:noWrap w:val="0"/>
            <w:vAlign w:val="center"/>
          </w:tcPr>
          <w:p w14:paraId="37DDDB5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2.12×10</w:t>
            </w:r>
            <w:r>
              <w:rPr>
                <w:rFonts w:hint="default" w:ascii="Times New Roman" w:hAnsi="Times New Roman" w:cs="Times New Roman"/>
                <w:color w:val="auto"/>
                <w:kern w:val="2"/>
                <w:sz w:val="21"/>
                <w:szCs w:val="21"/>
                <w:vertAlign w:val="superscript"/>
                <w:lang w:val="en-US" w:eastAsia="zh-CN" w:bidi="ar-SA"/>
              </w:rPr>
              <w:t>3</w:t>
            </w:r>
          </w:p>
        </w:tc>
      </w:tr>
      <w:tr w14:paraId="171C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5F5C0072">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5F4A57E2">
            <w:pPr>
              <w:jc w:val="center"/>
              <w:rPr>
                <w:rFonts w:hint="default" w:ascii="Times New Roman" w:hAnsi="Times New Roman" w:eastAsia="宋体" w:cs="Times New Roman"/>
                <w:color w:val="auto"/>
                <w:kern w:val="2"/>
                <w:sz w:val="21"/>
                <w:szCs w:val="21"/>
                <w:lang w:val="en-US" w:eastAsia="zh-CN" w:bidi="ar-SA"/>
              </w:rPr>
            </w:pPr>
          </w:p>
        </w:tc>
        <w:tc>
          <w:tcPr>
            <w:tcW w:w="714" w:type="pct"/>
            <w:noWrap w:val="0"/>
            <w:vAlign w:val="center"/>
          </w:tcPr>
          <w:p w14:paraId="31112497">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总磷</w:t>
            </w:r>
          </w:p>
        </w:tc>
        <w:tc>
          <w:tcPr>
            <w:tcW w:w="548" w:type="pct"/>
            <w:noWrap w:val="0"/>
            <w:vAlign w:val="center"/>
          </w:tcPr>
          <w:p w14:paraId="3C583E2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56FFF16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0.45</w:t>
            </w:r>
          </w:p>
        </w:tc>
        <w:tc>
          <w:tcPr>
            <w:tcW w:w="602" w:type="pct"/>
            <w:noWrap w:val="0"/>
            <w:vAlign w:val="center"/>
          </w:tcPr>
          <w:p w14:paraId="392090C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0.47</w:t>
            </w:r>
          </w:p>
        </w:tc>
        <w:tc>
          <w:tcPr>
            <w:tcW w:w="603" w:type="pct"/>
            <w:noWrap w:val="0"/>
            <w:vAlign w:val="center"/>
          </w:tcPr>
          <w:p w14:paraId="7FB86B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0.50</w:t>
            </w:r>
          </w:p>
        </w:tc>
        <w:tc>
          <w:tcPr>
            <w:tcW w:w="610" w:type="pct"/>
            <w:noWrap w:val="0"/>
            <w:vAlign w:val="center"/>
          </w:tcPr>
          <w:p w14:paraId="493EE4F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0.49</w:t>
            </w:r>
          </w:p>
        </w:tc>
      </w:tr>
      <w:tr w14:paraId="56D1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795533D6">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43103D5D">
            <w:pPr>
              <w:jc w:val="center"/>
              <w:rPr>
                <w:rFonts w:hint="default" w:ascii="Times New Roman" w:hAnsi="Times New Roman" w:eastAsia="宋体" w:cs="Times New Roman"/>
                <w:color w:val="auto"/>
                <w:kern w:val="2"/>
                <w:sz w:val="21"/>
                <w:szCs w:val="21"/>
                <w:lang w:val="en-US" w:eastAsia="zh-CN" w:bidi="ar-SA"/>
              </w:rPr>
            </w:pPr>
          </w:p>
        </w:tc>
        <w:tc>
          <w:tcPr>
            <w:tcW w:w="714" w:type="pct"/>
            <w:noWrap w:val="0"/>
            <w:vAlign w:val="center"/>
          </w:tcPr>
          <w:p w14:paraId="7AB3A013">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r>
              <w:rPr>
                <w:rFonts w:hint="default" w:ascii="Times New Roman" w:hAnsi="Times New Roman" w:eastAsia="宋体" w:cs="Times New Roman"/>
                <w:i w:val="0"/>
                <w:color w:val="auto"/>
                <w:kern w:val="0"/>
                <w:sz w:val="21"/>
                <w:szCs w:val="21"/>
                <w:u w:val="none"/>
                <w:lang w:val="en-US" w:eastAsia="zh-CN" w:bidi="ar"/>
              </w:rPr>
              <w:t>流量</w:t>
            </w:r>
          </w:p>
        </w:tc>
        <w:tc>
          <w:tcPr>
            <w:tcW w:w="548" w:type="pct"/>
            <w:noWrap w:val="0"/>
            <w:vAlign w:val="center"/>
          </w:tcPr>
          <w:p w14:paraId="15D196C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602" w:type="pct"/>
            <w:noWrap w:val="0"/>
            <w:vAlign w:val="center"/>
          </w:tcPr>
          <w:p w14:paraId="6141FD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2" w:type="pct"/>
            <w:noWrap w:val="0"/>
            <w:vAlign w:val="center"/>
          </w:tcPr>
          <w:p w14:paraId="20D1291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3" w:type="pct"/>
            <w:noWrap w:val="0"/>
            <w:vAlign w:val="center"/>
          </w:tcPr>
          <w:p w14:paraId="23E295F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10" w:type="pct"/>
            <w:noWrap w:val="0"/>
            <w:vAlign w:val="center"/>
          </w:tcPr>
          <w:p w14:paraId="0A60A0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54E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10FB1FA">
            <w:pPr>
              <w:jc w:val="center"/>
              <w:rPr>
                <w:rFonts w:hint="default" w:ascii="Times New Roman" w:hAnsi="Times New Roman" w:eastAsia="宋体" w:cs="Times New Roman"/>
                <w:color w:val="000000"/>
                <w:kern w:val="2"/>
                <w:sz w:val="21"/>
                <w:szCs w:val="21"/>
                <w:lang w:val="en-US" w:eastAsia="zh-CN" w:bidi="ar-SA"/>
              </w:rPr>
            </w:pPr>
          </w:p>
        </w:tc>
        <w:tc>
          <w:tcPr>
            <w:tcW w:w="615" w:type="pct"/>
            <w:vMerge w:val="restart"/>
            <w:noWrap w:val="0"/>
            <w:vAlign w:val="center"/>
          </w:tcPr>
          <w:p w14:paraId="4AF65E4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一体化污水处理站出口</w:t>
            </w:r>
          </w:p>
        </w:tc>
        <w:tc>
          <w:tcPr>
            <w:tcW w:w="714" w:type="pct"/>
            <w:vMerge w:val="restart"/>
            <w:shd w:val="clear" w:color="auto" w:fill="auto"/>
            <w:noWrap w:val="0"/>
            <w:vAlign w:val="center"/>
          </w:tcPr>
          <w:p w14:paraId="7B83A08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pH值</w:t>
            </w:r>
          </w:p>
        </w:tc>
        <w:tc>
          <w:tcPr>
            <w:tcW w:w="548" w:type="pct"/>
            <w:shd w:val="clear" w:color="auto" w:fill="auto"/>
            <w:noWrap w:val="0"/>
            <w:vAlign w:val="center"/>
          </w:tcPr>
          <w:p w14:paraId="46113D8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无量纲</w:t>
            </w:r>
          </w:p>
        </w:tc>
        <w:tc>
          <w:tcPr>
            <w:tcW w:w="602" w:type="pct"/>
            <w:noWrap w:val="0"/>
            <w:vAlign w:val="center"/>
          </w:tcPr>
          <w:p w14:paraId="07ACEAD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8.1</w:t>
            </w:r>
          </w:p>
        </w:tc>
        <w:tc>
          <w:tcPr>
            <w:tcW w:w="602" w:type="pct"/>
            <w:noWrap w:val="0"/>
            <w:vAlign w:val="center"/>
          </w:tcPr>
          <w:p w14:paraId="13A2342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w:t>
            </w:r>
          </w:p>
        </w:tc>
        <w:tc>
          <w:tcPr>
            <w:tcW w:w="603" w:type="pct"/>
            <w:noWrap w:val="0"/>
            <w:vAlign w:val="center"/>
          </w:tcPr>
          <w:p w14:paraId="288403D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w:t>
            </w:r>
          </w:p>
        </w:tc>
        <w:tc>
          <w:tcPr>
            <w:tcW w:w="610" w:type="pct"/>
            <w:noWrap w:val="0"/>
            <w:vAlign w:val="center"/>
          </w:tcPr>
          <w:p w14:paraId="2585216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w:t>
            </w:r>
          </w:p>
        </w:tc>
      </w:tr>
      <w:tr w14:paraId="1ABF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43BFBDA1">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778A3839">
            <w:pPr>
              <w:jc w:val="center"/>
              <w:rPr>
                <w:rFonts w:hint="default" w:ascii="Times New Roman" w:hAnsi="Times New Roman" w:eastAsia="宋体" w:cs="Times New Roman"/>
                <w:color w:val="auto"/>
                <w:kern w:val="2"/>
                <w:sz w:val="21"/>
                <w:szCs w:val="21"/>
                <w:lang w:val="en-US" w:eastAsia="zh-CN" w:bidi="ar-SA"/>
              </w:rPr>
            </w:pPr>
          </w:p>
        </w:tc>
        <w:tc>
          <w:tcPr>
            <w:tcW w:w="714" w:type="pct"/>
            <w:vMerge w:val="continue"/>
            <w:noWrap w:val="0"/>
            <w:vAlign w:val="center"/>
          </w:tcPr>
          <w:p w14:paraId="02CC4B54">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p>
        </w:tc>
        <w:tc>
          <w:tcPr>
            <w:tcW w:w="548" w:type="pct"/>
            <w:shd w:val="clear" w:color="auto" w:fill="auto"/>
            <w:noWrap w:val="0"/>
            <w:vAlign w:val="center"/>
          </w:tcPr>
          <w:p w14:paraId="2E58F4A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02" w:type="pct"/>
            <w:noWrap w:val="0"/>
            <w:vAlign w:val="center"/>
          </w:tcPr>
          <w:p w14:paraId="2B8C802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17.4</w:t>
            </w:r>
          </w:p>
        </w:tc>
        <w:tc>
          <w:tcPr>
            <w:tcW w:w="602" w:type="pct"/>
            <w:noWrap w:val="0"/>
            <w:vAlign w:val="center"/>
          </w:tcPr>
          <w:p w14:paraId="298EB4F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18.2</w:t>
            </w:r>
          </w:p>
        </w:tc>
        <w:tc>
          <w:tcPr>
            <w:tcW w:w="603" w:type="pct"/>
            <w:noWrap w:val="0"/>
            <w:vAlign w:val="center"/>
          </w:tcPr>
          <w:p w14:paraId="7BB95D5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18.5</w:t>
            </w:r>
          </w:p>
        </w:tc>
        <w:tc>
          <w:tcPr>
            <w:tcW w:w="610" w:type="pct"/>
            <w:noWrap w:val="0"/>
            <w:vAlign w:val="center"/>
          </w:tcPr>
          <w:p w14:paraId="08865B6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17.9</w:t>
            </w:r>
          </w:p>
        </w:tc>
      </w:tr>
      <w:tr w14:paraId="5316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73DE0ECA">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77CCC52A">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119A005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化学需氧量</w:t>
            </w:r>
          </w:p>
        </w:tc>
        <w:tc>
          <w:tcPr>
            <w:tcW w:w="548" w:type="pct"/>
            <w:shd w:val="clear" w:color="auto" w:fill="auto"/>
            <w:noWrap w:val="0"/>
            <w:vAlign w:val="center"/>
          </w:tcPr>
          <w:p w14:paraId="295B52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20D5B78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53</w:t>
            </w:r>
          </w:p>
        </w:tc>
        <w:tc>
          <w:tcPr>
            <w:tcW w:w="602" w:type="pct"/>
            <w:noWrap w:val="0"/>
            <w:vAlign w:val="center"/>
          </w:tcPr>
          <w:p w14:paraId="34B0BB4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55</w:t>
            </w:r>
          </w:p>
        </w:tc>
        <w:tc>
          <w:tcPr>
            <w:tcW w:w="603" w:type="pct"/>
            <w:noWrap w:val="0"/>
            <w:vAlign w:val="center"/>
          </w:tcPr>
          <w:p w14:paraId="074A110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56</w:t>
            </w:r>
          </w:p>
        </w:tc>
        <w:tc>
          <w:tcPr>
            <w:tcW w:w="610" w:type="pct"/>
            <w:noWrap w:val="0"/>
            <w:vAlign w:val="center"/>
          </w:tcPr>
          <w:p w14:paraId="36B8B0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52</w:t>
            </w:r>
          </w:p>
        </w:tc>
      </w:tr>
      <w:tr w14:paraId="10A5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1C033D1F">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73350A3F">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76D0960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氨氮</w:t>
            </w:r>
          </w:p>
        </w:tc>
        <w:tc>
          <w:tcPr>
            <w:tcW w:w="548" w:type="pct"/>
            <w:shd w:val="clear" w:color="auto" w:fill="auto"/>
            <w:noWrap w:val="0"/>
            <w:vAlign w:val="center"/>
          </w:tcPr>
          <w:p w14:paraId="342EDAA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1118" w:type="dxa"/>
            <w:noWrap w:val="0"/>
            <w:vAlign w:val="center"/>
          </w:tcPr>
          <w:p w14:paraId="5D35E749">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1.41</w:t>
            </w:r>
          </w:p>
        </w:tc>
        <w:tc>
          <w:tcPr>
            <w:tcW w:w="1118" w:type="dxa"/>
            <w:noWrap w:val="0"/>
            <w:vAlign w:val="center"/>
          </w:tcPr>
          <w:p w14:paraId="4C3E6230">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1.49</w:t>
            </w:r>
          </w:p>
        </w:tc>
        <w:tc>
          <w:tcPr>
            <w:tcW w:w="1120" w:type="dxa"/>
            <w:noWrap w:val="0"/>
            <w:vAlign w:val="center"/>
          </w:tcPr>
          <w:p w14:paraId="46F92CB7">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1.35</w:t>
            </w:r>
          </w:p>
        </w:tc>
        <w:tc>
          <w:tcPr>
            <w:tcW w:w="1137" w:type="dxa"/>
            <w:noWrap w:val="0"/>
            <w:vAlign w:val="center"/>
          </w:tcPr>
          <w:p w14:paraId="77D23CC1">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1.47</w:t>
            </w:r>
          </w:p>
        </w:tc>
      </w:tr>
      <w:tr w14:paraId="509C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4561C47C">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6383B6EC">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3A11EC0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硫酸盐</w:t>
            </w:r>
          </w:p>
        </w:tc>
        <w:tc>
          <w:tcPr>
            <w:tcW w:w="548" w:type="pct"/>
            <w:shd w:val="clear" w:color="auto" w:fill="auto"/>
            <w:noWrap w:val="0"/>
            <w:vAlign w:val="center"/>
          </w:tcPr>
          <w:p w14:paraId="6FB034A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61965C0C">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210</w:t>
            </w:r>
          </w:p>
        </w:tc>
        <w:tc>
          <w:tcPr>
            <w:tcW w:w="602" w:type="pct"/>
            <w:noWrap w:val="0"/>
            <w:vAlign w:val="center"/>
          </w:tcPr>
          <w:p w14:paraId="502144A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200</w:t>
            </w:r>
          </w:p>
        </w:tc>
        <w:tc>
          <w:tcPr>
            <w:tcW w:w="603" w:type="pct"/>
            <w:noWrap w:val="0"/>
            <w:vAlign w:val="center"/>
          </w:tcPr>
          <w:p w14:paraId="20A6A6FC">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195</w:t>
            </w:r>
          </w:p>
        </w:tc>
        <w:tc>
          <w:tcPr>
            <w:tcW w:w="610" w:type="pct"/>
            <w:noWrap w:val="0"/>
            <w:vAlign w:val="center"/>
          </w:tcPr>
          <w:p w14:paraId="703B784B">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150</w:t>
            </w:r>
          </w:p>
        </w:tc>
      </w:tr>
      <w:tr w14:paraId="3443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6B33B17C">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3535EA62">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6A2DE7F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悬浮物</w:t>
            </w:r>
          </w:p>
        </w:tc>
        <w:tc>
          <w:tcPr>
            <w:tcW w:w="548" w:type="pct"/>
            <w:shd w:val="clear" w:color="auto" w:fill="auto"/>
            <w:noWrap w:val="0"/>
            <w:vAlign w:val="center"/>
          </w:tcPr>
          <w:p w14:paraId="7D55520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5CD1EAF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w:t>
            </w:r>
          </w:p>
        </w:tc>
        <w:tc>
          <w:tcPr>
            <w:tcW w:w="602" w:type="pct"/>
            <w:noWrap w:val="0"/>
            <w:vAlign w:val="center"/>
          </w:tcPr>
          <w:p w14:paraId="10297AB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24</w:t>
            </w:r>
          </w:p>
        </w:tc>
        <w:tc>
          <w:tcPr>
            <w:tcW w:w="603" w:type="pct"/>
            <w:noWrap w:val="0"/>
            <w:vAlign w:val="center"/>
          </w:tcPr>
          <w:p w14:paraId="6845B3D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w:t>
            </w:r>
          </w:p>
        </w:tc>
        <w:tc>
          <w:tcPr>
            <w:tcW w:w="610" w:type="pct"/>
            <w:noWrap w:val="0"/>
            <w:vAlign w:val="center"/>
          </w:tcPr>
          <w:p w14:paraId="54B8163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w:t>
            </w:r>
          </w:p>
        </w:tc>
      </w:tr>
      <w:tr w14:paraId="16D3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1E547761">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342A72DA">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366B7C8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全盐量</w:t>
            </w:r>
          </w:p>
        </w:tc>
        <w:tc>
          <w:tcPr>
            <w:tcW w:w="548" w:type="pct"/>
            <w:shd w:val="clear" w:color="auto" w:fill="auto"/>
            <w:noWrap w:val="0"/>
            <w:vAlign w:val="center"/>
          </w:tcPr>
          <w:p w14:paraId="755776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5192DF4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1.04×10</w:t>
            </w:r>
            <w:r>
              <w:rPr>
                <w:rFonts w:hint="default" w:ascii="Times New Roman" w:hAnsi="Times New Roman" w:cs="Times New Roman"/>
                <w:color w:val="auto"/>
                <w:kern w:val="2"/>
                <w:sz w:val="21"/>
                <w:szCs w:val="21"/>
                <w:vertAlign w:val="superscript"/>
                <w:lang w:val="en-US" w:eastAsia="zh-CN" w:bidi="ar-SA"/>
              </w:rPr>
              <w:t>3</w:t>
            </w:r>
          </w:p>
        </w:tc>
        <w:tc>
          <w:tcPr>
            <w:tcW w:w="602" w:type="pct"/>
            <w:noWrap w:val="0"/>
            <w:vAlign w:val="center"/>
          </w:tcPr>
          <w:p w14:paraId="55B78C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1.14×10</w:t>
            </w:r>
            <w:r>
              <w:rPr>
                <w:rFonts w:hint="default" w:ascii="Times New Roman" w:hAnsi="Times New Roman" w:cs="Times New Roman"/>
                <w:color w:val="auto"/>
                <w:kern w:val="2"/>
                <w:sz w:val="21"/>
                <w:szCs w:val="21"/>
                <w:vertAlign w:val="superscript"/>
                <w:lang w:val="en-US" w:eastAsia="zh-CN" w:bidi="ar-SA"/>
              </w:rPr>
              <w:t>3</w:t>
            </w:r>
          </w:p>
        </w:tc>
        <w:tc>
          <w:tcPr>
            <w:tcW w:w="603" w:type="pct"/>
            <w:noWrap w:val="0"/>
            <w:vAlign w:val="center"/>
          </w:tcPr>
          <w:p w14:paraId="5A8E76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1.09×10</w:t>
            </w:r>
            <w:r>
              <w:rPr>
                <w:rFonts w:hint="default" w:ascii="Times New Roman" w:hAnsi="Times New Roman" w:cs="Times New Roman"/>
                <w:color w:val="auto"/>
                <w:kern w:val="2"/>
                <w:sz w:val="21"/>
                <w:szCs w:val="21"/>
                <w:vertAlign w:val="superscript"/>
                <w:lang w:val="en-US" w:eastAsia="zh-CN" w:bidi="ar-SA"/>
              </w:rPr>
              <w:t>3</w:t>
            </w:r>
          </w:p>
        </w:tc>
        <w:tc>
          <w:tcPr>
            <w:tcW w:w="610" w:type="pct"/>
            <w:noWrap w:val="0"/>
            <w:vAlign w:val="center"/>
          </w:tcPr>
          <w:p w14:paraId="7B62F36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1.10×10</w:t>
            </w:r>
            <w:r>
              <w:rPr>
                <w:rFonts w:hint="default" w:ascii="Times New Roman" w:hAnsi="Times New Roman" w:cs="Times New Roman"/>
                <w:color w:val="auto"/>
                <w:kern w:val="2"/>
                <w:sz w:val="21"/>
                <w:szCs w:val="21"/>
                <w:vertAlign w:val="superscript"/>
                <w:lang w:val="en-US" w:eastAsia="zh-CN" w:bidi="ar-SA"/>
              </w:rPr>
              <w:t>3</w:t>
            </w:r>
          </w:p>
        </w:tc>
      </w:tr>
      <w:tr w14:paraId="4BDD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67CEA826">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53E7B4B1">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60C4BFA4">
            <w:pPr>
              <w:jc w:val="center"/>
              <w:rPr>
                <w:rFonts w:hint="default" w:ascii="Times New Roman" w:hAnsi="Times New Roman" w:eastAsia="宋体" w:cs="Times New Roman"/>
                <w:b w:val="0"/>
                <w:bCs w:val="0"/>
                <w:i w:val="0"/>
                <w:iCs w:val="0"/>
                <w:caps w:val="0"/>
                <w:color w:val="000000"/>
                <w:spacing w:val="0"/>
                <w:kern w:val="2"/>
                <w:sz w:val="21"/>
                <w:szCs w:val="21"/>
                <w:highlight w:val="none"/>
                <w:shd w:val="clear" w:color="auto" w:fill="FFFFFF"/>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总磷</w:t>
            </w:r>
          </w:p>
        </w:tc>
        <w:tc>
          <w:tcPr>
            <w:tcW w:w="548" w:type="pct"/>
            <w:shd w:val="clear" w:color="auto" w:fill="auto"/>
            <w:noWrap w:val="0"/>
            <w:vAlign w:val="center"/>
          </w:tcPr>
          <w:p w14:paraId="238D3A7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2" w:type="pct"/>
            <w:noWrap w:val="0"/>
            <w:vAlign w:val="center"/>
          </w:tcPr>
          <w:p w14:paraId="419B6B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0.14</w:t>
            </w:r>
          </w:p>
        </w:tc>
        <w:tc>
          <w:tcPr>
            <w:tcW w:w="602" w:type="pct"/>
            <w:noWrap w:val="0"/>
            <w:vAlign w:val="center"/>
          </w:tcPr>
          <w:p w14:paraId="2594B1D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0.13</w:t>
            </w:r>
          </w:p>
        </w:tc>
        <w:tc>
          <w:tcPr>
            <w:tcW w:w="603" w:type="pct"/>
            <w:noWrap w:val="0"/>
            <w:vAlign w:val="center"/>
          </w:tcPr>
          <w:p w14:paraId="6C0C7B7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0.13</w:t>
            </w:r>
          </w:p>
        </w:tc>
        <w:tc>
          <w:tcPr>
            <w:tcW w:w="610" w:type="pct"/>
            <w:noWrap w:val="0"/>
            <w:vAlign w:val="center"/>
          </w:tcPr>
          <w:p w14:paraId="1E9C466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0.12</w:t>
            </w:r>
          </w:p>
        </w:tc>
      </w:tr>
      <w:tr w14:paraId="7613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130C49CA">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07DF6EDE">
            <w:pPr>
              <w:jc w:val="center"/>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noWrap w:val="0"/>
            <w:vAlign w:val="center"/>
          </w:tcPr>
          <w:p w14:paraId="1731D4F5">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r>
              <w:rPr>
                <w:rFonts w:hint="default" w:ascii="Times New Roman" w:hAnsi="Times New Roman" w:eastAsia="宋体" w:cs="Times New Roman"/>
                <w:i w:val="0"/>
                <w:color w:val="auto"/>
                <w:kern w:val="0"/>
                <w:sz w:val="21"/>
                <w:szCs w:val="21"/>
                <w:u w:val="none"/>
                <w:lang w:val="en-US" w:eastAsia="zh-CN" w:bidi="ar"/>
              </w:rPr>
              <w:t>流量</w:t>
            </w:r>
          </w:p>
        </w:tc>
        <w:tc>
          <w:tcPr>
            <w:tcW w:w="548" w:type="pct"/>
            <w:shd w:val="clear" w:color="auto" w:fill="auto"/>
            <w:noWrap w:val="0"/>
            <w:vAlign w:val="center"/>
          </w:tcPr>
          <w:p w14:paraId="316E69E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602" w:type="pct"/>
            <w:noWrap w:val="0"/>
            <w:vAlign w:val="center"/>
          </w:tcPr>
          <w:p w14:paraId="462087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2" w:type="pct"/>
            <w:noWrap w:val="0"/>
            <w:vAlign w:val="center"/>
          </w:tcPr>
          <w:p w14:paraId="40C663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3" w:type="pct"/>
            <w:noWrap w:val="0"/>
            <w:vAlign w:val="center"/>
          </w:tcPr>
          <w:p w14:paraId="306314B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10" w:type="pct"/>
            <w:noWrap w:val="0"/>
            <w:vAlign w:val="center"/>
          </w:tcPr>
          <w:p w14:paraId="392F02B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bl>
    <w:p w14:paraId="32BBAE95">
      <w:pPr>
        <w:pStyle w:val="50"/>
        <w:numPr>
          <w:ilvl w:val="0"/>
          <w:numId w:val="0"/>
        </w:numPr>
        <w:spacing w:line="360" w:lineRule="auto"/>
        <w:jc w:val="center"/>
        <w:rPr>
          <w:rFonts w:hint="default"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表9-2（2）废水监测结果一览表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142"/>
        <w:gridCol w:w="1359"/>
        <w:gridCol w:w="954"/>
        <w:gridCol w:w="1129"/>
        <w:gridCol w:w="1129"/>
        <w:gridCol w:w="1129"/>
        <w:gridCol w:w="1136"/>
      </w:tblGrid>
      <w:tr w14:paraId="6651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restart"/>
            <w:noWrap w:val="0"/>
            <w:vAlign w:val="center"/>
          </w:tcPr>
          <w:p w14:paraId="28F9725B">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采样日期</w:t>
            </w:r>
          </w:p>
        </w:tc>
        <w:tc>
          <w:tcPr>
            <w:tcW w:w="615" w:type="pct"/>
            <w:vMerge w:val="restart"/>
            <w:noWrap w:val="0"/>
            <w:vAlign w:val="center"/>
          </w:tcPr>
          <w:p w14:paraId="696062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732" w:type="pct"/>
            <w:vMerge w:val="restart"/>
            <w:noWrap w:val="0"/>
            <w:vAlign w:val="center"/>
          </w:tcPr>
          <w:p w14:paraId="78A702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514" w:type="pct"/>
            <w:vMerge w:val="restart"/>
            <w:noWrap w:val="0"/>
            <w:vAlign w:val="center"/>
          </w:tcPr>
          <w:p w14:paraId="5CF0AF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436" w:type="pct"/>
            <w:gridSpan w:val="4"/>
            <w:noWrap w:val="0"/>
            <w:vAlign w:val="center"/>
          </w:tcPr>
          <w:p w14:paraId="74D9E4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检测结果</w:t>
            </w:r>
          </w:p>
        </w:tc>
      </w:tr>
      <w:tr w14:paraId="4ED2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4CDAA412">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33C2C592">
            <w:pPr>
              <w:jc w:val="center"/>
              <w:rPr>
                <w:rFonts w:hint="default" w:ascii="Times New Roman" w:hAnsi="Times New Roman" w:eastAsia="宋体" w:cs="Times New Roman"/>
                <w:color w:val="auto"/>
                <w:sz w:val="21"/>
                <w:szCs w:val="21"/>
              </w:rPr>
            </w:pPr>
          </w:p>
        </w:tc>
        <w:tc>
          <w:tcPr>
            <w:tcW w:w="732" w:type="pct"/>
            <w:vMerge w:val="continue"/>
            <w:noWrap w:val="0"/>
            <w:vAlign w:val="center"/>
          </w:tcPr>
          <w:p w14:paraId="68486AEF">
            <w:pPr>
              <w:jc w:val="center"/>
              <w:rPr>
                <w:rFonts w:hint="default" w:ascii="Times New Roman" w:hAnsi="Times New Roman" w:eastAsia="宋体" w:cs="Times New Roman"/>
                <w:color w:val="auto"/>
                <w:sz w:val="21"/>
                <w:szCs w:val="21"/>
              </w:rPr>
            </w:pPr>
          </w:p>
        </w:tc>
        <w:tc>
          <w:tcPr>
            <w:tcW w:w="514" w:type="pct"/>
            <w:vMerge w:val="continue"/>
            <w:noWrap w:val="0"/>
            <w:vAlign w:val="center"/>
          </w:tcPr>
          <w:p w14:paraId="44FC80B1">
            <w:pPr>
              <w:jc w:val="center"/>
              <w:rPr>
                <w:rFonts w:hint="default" w:ascii="Times New Roman" w:hAnsi="Times New Roman" w:eastAsia="宋体" w:cs="Times New Roman"/>
                <w:color w:val="auto"/>
                <w:sz w:val="21"/>
                <w:szCs w:val="21"/>
              </w:rPr>
            </w:pPr>
          </w:p>
        </w:tc>
        <w:tc>
          <w:tcPr>
            <w:tcW w:w="608" w:type="pct"/>
            <w:noWrap w:val="0"/>
            <w:vAlign w:val="center"/>
          </w:tcPr>
          <w:p w14:paraId="7271F6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608" w:type="pct"/>
            <w:noWrap w:val="0"/>
            <w:vAlign w:val="center"/>
          </w:tcPr>
          <w:p w14:paraId="7D4C6BC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608" w:type="pct"/>
            <w:noWrap w:val="0"/>
            <w:vAlign w:val="center"/>
          </w:tcPr>
          <w:p w14:paraId="2E66CEED">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第三次</w:t>
            </w:r>
          </w:p>
        </w:tc>
        <w:tc>
          <w:tcPr>
            <w:tcW w:w="611" w:type="pct"/>
            <w:noWrap w:val="0"/>
            <w:vAlign w:val="center"/>
          </w:tcPr>
          <w:p w14:paraId="087C3D3D">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第四次</w:t>
            </w:r>
          </w:p>
        </w:tc>
      </w:tr>
      <w:tr w14:paraId="13CD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1" w:type="pct"/>
            <w:vMerge w:val="restart"/>
            <w:noWrap w:val="0"/>
            <w:vAlign w:val="center"/>
          </w:tcPr>
          <w:p w14:paraId="40680BFB">
            <w:pPr>
              <w:pStyle w:val="1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2024.11.26</w:t>
            </w:r>
          </w:p>
        </w:tc>
        <w:tc>
          <w:tcPr>
            <w:tcW w:w="615" w:type="pct"/>
            <w:vMerge w:val="restart"/>
            <w:noWrap w:val="0"/>
            <w:vAlign w:val="center"/>
          </w:tcPr>
          <w:p w14:paraId="598BB9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一体化污水处理站进口</w:t>
            </w:r>
          </w:p>
        </w:tc>
        <w:tc>
          <w:tcPr>
            <w:tcW w:w="732" w:type="pct"/>
            <w:vMerge w:val="restart"/>
            <w:noWrap w:val="0"/>
            <w:vAlign w:val="center"/>
          </w:tcPr>
          <w:p w14:paraId="688F7383">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pH值</w:t>
            </w:r>
          </w:p>
        </w:tc>
        <w:tc>
          <w:tcPr>
            <w:tcW w:w="514" w:type="pct"/>
            <w:noWrap w:val="0"/>
            <w:vAlign w:val="center"/>
          </w:tcPr>
          <w:p w14:paraId="5F1C14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无量纲</w:t>
            </w:r>
          </w:p>
        </w:tc>
        <w:tc>
          <w:tcPr>
            <w:tcW w:w="608" w:type="pct"/>
            <w:noWrap w:val="0"/>
            <w:vAlign w:val="center"/>
          </w:tcPr>
          <w:p w14:paraId="2A01890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608" w:type="pct"/>
            <w:noWrap w:val="0"/>
            <w:vAlign w:val="center"/>
          </w:tcPr>
          <w:p w14:paraId="7B073A1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w:t>
            </w:r>
          </w:p>
        </w:tc>
        <w:tc>
          <w:tcPr>
            <w:tcW w:w="608" w:type="pct"/>
            <w:noWrap w:val="0"/>
            <w:vAlign w:val="center"/>
          </w:tcPr>
          <w:p w14:paraId="08E8B56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611" w:type="pct"/>
            <w:noWrap w:val="0"/>
            <w:vAlign w:val="center"/>
          </w:tcPr>
          <w:p w14:paraId="512D7F2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r>
      <w:tr w14:paraId="2E7F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3A1DF47D">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7A387C4B">
            <w:pPr>
              <w:jc w:val="center"/>
              <w:rPr>
                <w:rFonts w:hint="default" w:ascii="Times New Roman" w:hAnsi="Times New Roman" w:eastAsia="宋体" w:cs="Times New Roman"/>
                <w:color w:val="auto"/>
                <w:sz w:val="21"/>
                <w:szCs w:val="21"/>
              </w:rPr>
            </w:pPr>
          </w:p>
        </w:tc>
        <w:tc>
          <w:tcPr>
            <w:tcW w:w="732" w:type="pct"/>
            <w:vMerge w:val="continue"/>
            <w:noWrap w:val="0"/>
            <w:vAlign w:val="center"/>
          </w:tcPr>
          <w:p w14:paraId="7A623CBE">
            <w:pPr>
              <w:jc w:val="center"/>
              <w:rPr>
                <w:rFonts w:hint="default" w:ascii="Times New Roman" w:hAnsi="Times New Roman" w:eastAsia="宋体" w:cs="Times New Roman"/>
                <w:color w:val="auto"/>
                <w:sz w:val="21"/>
                <w:szCs w:val="21"/>
              </w:rPr>
            </w:pPr>
          </w:p>
        </w:tc>
        <w:tc>
          <w:tcPr>
            <w:tcW w:w="514" w:type="pct"/>
            <w:noWrap w:val="0"/>
            <w:vAlign w:val="center"/>
          </w:tcPr>
          <w:p w14:paraId="3AF4378A">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w:t>
            </w:r>
          </w:p>
        </w:tc>
        <w:tc>
          <w:tcPr>
            <w:tcW w:w="608" w:type="pct"/>
            <w:noWrap w:val="0"/>
            <w:vAlign w:val="center"/>
          </w:tcPr>
          <w:p w14:paraId="3681DAF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15.8</w:t>
            </w:r>
          </w:p>
        </w:tc>
        <w:tc>
          <w:tcPr>
            <w:tcW w:w="608" w:type="pct"/>
            <w:noWrap w:val="0"/>
            <w:vAlign w:val="center"/>
          </w:tcPr>
          <w:p w14:paraId="74FE874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16.3</w:t>
            </w:r>
          </w:p>
        </w:tc>
        <w:tc>
          <w:tcPr>
            <w:tcW w:w="608" w:type="pct"/>
            <w:noWrap w:val="0"/>
            <w:vAlign w:val="center"/>
          </w:tcPr>
          <w:p w14:paraId="2D15450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w:t>
            </w:r>
          </w:p>
        </w:tc>
        <w:tc>
          <w:tcPr>
            <w:tcW w:w="611" w:type="pct"/>
            <w:noWrap w:val="0"/>
            <w:vAlign w:val="center"/>
          </w:tcPr>
          <w:p w14:paraId="654C3EE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18.1</w:t>
            </w:r>
          </w:p>
        </w:tc>
      </w:tr>
      <w:tr w14:paraId="790C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31EF09AA">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15E9576E">
            <w:pPr>
              <w:jc w:val="center"/>
              <w:rPr>
                <w:rFonts w:hint="default" w:ascii="Times New Roman" w:hAnsi="Times New Roman" w:eastAsia="宋体" w:cs="Times New Roman"/>
                <w:color w:val="auto"/>
                <w:sz w:val="21"/>
                <w:szCs w:val="21"/>
              </w:rPr>
            </w:pPr>
          </w:p>
        </w:tc>
        <w:tc>
          <w:tcPr>
            <w:tcW w:w="732" w:type="pct"/>
            <w:noWrap w:val="0"/>
            <w:vAlign w:val="center"/>
          </w:tcPr>
          <w:p w14:paraId="56CC33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化学需氧量</w:t>
            </w:r>
          </w:p>
        </w:tc>
        <w:tc>
          <w:tcPr>
            <w:tcW w:w="514" w:type="pct"/>
            <w:noWrap w:val="0"/>
            <w:vAlign w:val="center"/>
          </w:tcPr>
          <w:p w14:paraId="12C2875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006B258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w:t>
            </w:r>
          </w:p>
        </w:tc>
        <w:tc>
          <w:tcPr>
            <w:tcW w:w="608" w:type="pct"/>
            <w:noWrap w:val="0"/>
            <w:vAlign w:val="center"/>
          </w:tcPr>
          <w:p w14:paraId="6B670AB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198</w:t>
            </w:r>
          </w:p>
        </w:tc>
        <w:tc>
          <w:tcPr>
            <w:tcW w:w="608" w:type="pct"/>
            <w:noWrap w:val="0"/>
            <w:vAlign w:val="center"/>
          </w:tcPr>
          <w:p w14:paraId="4FC8234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193</w:t>
            </w:r>
          </w:p>
        </w:tc>
        <w:tc>
          <w:tcPr>
            <w:tcW w:w="611" w:type="pct"/>
            <w:noWrap w:val="0"/>
            <w:vAlign w:val="center"/>
          </w:tcPr>
          <w:p w14:paraId="0CE1CDC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w:t>
            </w:r>
          </w:p>
        </w:tc>
      </w:tr>
      <w:tr w14:paraId="342A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42BCCD0E">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66F45F9C">
            <w:pPr>
              <w:jc w:val="center"/>
              <w:rPr>
                <w:rFonts w:hint="default" w:ascii="Times New Roman" w:hAnsi="Times New Roman" w:eastAsia="宋体" w:cs="Times New Roman"/>
                <w:color w:val="auto"/>
                <w:sz w:val="21"/>
                <w:szCs w:val="21"/>
              </w:rPr>
            </w:pPr>
          </w:p>
        </w:tc>
        <w:tc>
          <w:tcPr>
            <w:tcW w:w="732" w:type="pct"/>
            <w:noWrap w:val="0"/>
            <w:vAlign w:val="center"/>
          </w:tcPr>
          <w:p w14:paraId="648EF2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氨氮</w:t>
            </w:r>
          </w:p>
        </w:tc>
        <w:tc>
          <w:tcPr>
            <w:tcW w:w="514" w:type="pct"/>
            <w:noWrap w:val="0"/>
            <w:vAlign w:val="center"/>
          </w:tcPr>
          <w:p w14:paraId="7B255695">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1129" w:type="dxa"/>
            <w:noWrap w:val="0"/>
            <w:vAlign w:val="center"/>
          </w:tcPr>
          <w:p w14:paraId="52FC9BD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8.20</w:t>
            </w:r>
          </w:p>
        </w:tc>
        <w:tc>
          <w:tcPr>
            <w:tcW w:w="1129" w:type="dxa"/>
            <w:noWrap w:val="0"/>
            <w:vAlign w:val="center"/>
          </w:tcPr>
          <w:p w14:paraId="261F86E0">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8.12</w:t>
            </w:r>
          </w:p>
        </w:tc>
        <w:tc>
          <w:tcPr>
            <w:tcW w:w="1129" w:type="dxa"/>
            <w:noWrap w:val="0"/>
            <w:vAlign w:val="center"/>
          </w:tcPr>
          <w:p w14:paraId="44C0EBF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7.84</w:t>
            </w:r>
          </w:p>
        </w:tc>
        <w:tc>
          <w:tcPr>
            <w:tcW w:w="1136" w:type="dxa"/>
            <w:noWrap w:val="0"/>
            <w:vAlign w:val="center"/>
          </w:tcPr>
          <w:p w14:paraId="57744381">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8.06</w:t>
            </w:r>
          </w:p>
        </w:tc>
      </w:tr>
      <w:tr w14:paraId="08B0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31036E2C">
            <w:pPr>
              <w:jc w:val="center"/>
              <w:rPr>
                <w:rFonts w:hint="default" w:ascii="Times New Roman" w:hAnsi="Times New Roman" w:eastAsia="宋体" w:cs="Times New Roman"/>
                <w:color w:val="000000"/>
                <w:sz w:val="21"/>
                <w:szCs w:val="21"/>
              </w:rPr>
            </w:pPr>
          </w:p>
        </w:tc>
        <w:tc>
          <w:tcPr>
            <w:tcW w:w="615" w:type="pct"/>
            <w:vMerge w:val="continue"/>
            <w:noWrap w:val="0"/>
            <w:vAlign w:val="center"/>
          </w:tcPr>
          <w:p w14:paraId="4DBC25AC">
            <w:pPr>
              <w:jc w:val="center"/>
              <w:rPr>
                <w:rFonts w:hint="default" w:ascii="Times New Roman" w:hAnsi="Times New Roman" w:eastAsia="宋体" w:cs="Times New Roman"/>
                <w:color w:val="auto"/>
                <w:sz w:val="21"/>
                <w:szCs w:val="21"/>
              </w:rPr>
            </w:pPr>
          </w:p>
        </w:tc>
        <w:tc>
          <w:tcPr>
            <w:tcW w:w="732" w:type="pct"/>
            <w:noWrap w:val="0"/>
            <w:vAlign w:val="center"/>
          </w:tcPr>
          <w:p w14:paraId="646888D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硫酸盐</w:t>
            </w:r>
          </w:p>
        </w:tc>
        <w:tc>
          <w:tcPr>
            <w:tcW w:w="514" w:type="pct"/>
            <w:noWrap w:val="0"/>
            <w:vAlign w:val="center"/>
          </w:tcPr>
          <w:p w14:paraId="36270B88">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0ADECA6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424</w:t>
            </w:r>
          </w:p>
        </w:tc>
        <w:tc>
          <w:tcPr>
            <w:tcW w:w="608" w:type="pct"/>
            <w:noWrap w:val="0"/>
            <w:vAlign w:val="center"/>
          </w:tcPr>
          <w:p w14:paraId="3BBE07F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332</w:t>
            </w:r>
          </w:p>
        </w:tc>
        <w:tc>
          <w:tcPr>
            <w:tcW w:w="608" w:type="pct"/>
            <w:noWrap w:val="0"/>
            <w:vAlign w:val="center"/>
          </w:tcPr>
          <w:p w14:paraId="50F6CDE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316</w:t>
            </w:r>
          </w:p>
        </w:tc>
        <w:tc>
          <w:tcPr>
            <w:tcW w:w="611" w:type="pct"/>
            <w:noWrap w:val="0"/>
            <w:vAlign w:val="center"/>
          </w:tcPr>
          <w:p w14:paraId="149DF8F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451</w:t>
            </w:r>
          </w:p>
        </w:tc>
      </w:tr>
      <w:tr w14:paraId="5C6B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5D486384">
            <w:pPr>
              <w:pStyle w:val="11"/>
              <w:jc w:val="center"/>
              <w:rPr>
                <w:rFonts w:hint="default" w:ascii="Times New Roman" w:hAnsi="Times New Roman" w:eastAsia="宋体" w:cs="Times New Roman"/>
                <w:sz w:val="21"/>
                <w:szCs w:val="21"/>
                <w:lang w:val="en-US" w:eastAsia="zh-CN"/>
              </w:rPr>
            </w:pPr>
          </w:p>
        </w:tc>
        <w:tc>
          <w:tcPr>
            <w:tcW w:w="615" w:type="pct"/>
            <w:vMerge w:val="continue"/>
            <w:noWrap w:val="0"/>
            <w:vAlign w:val="center"/>
          </w:tcPr>
          <w:p w14:paraId="067138D4">
            <w:pPr>
              <w:jc w:val="center"/>
              <w:rPr>
                <w:rFonts w:hint="default" w:ascii="Times New Roman" w:hAnsi="Times New Roman" w:eastAsia="宋体" w:cs="Times New Roman"/>
                <w:color w:val="auto"/>
                <w:kern w:val="2"/>
                <w:sz w:val="21"/>
                <w:szCs w:val="21"/>
                <w:lang w:val="en-US" w:eastAsia="zh-CN" w:bidi="ar-SA"/>
              </w:rPr>
            </w:pPr>
          </w:p>
        </w:tc>
        <w:tc>
          <w:tcPr>
            <w:tcW w:w="732" w:type="pct"/>
            <w:noWrap w:val="0"/>
            <w:vAlign w:val="center"/>
          </w:tcPr>
          <w:p w14:paraId="53161C0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悬浮物</w:t>
            </w:r>
          </w:p>
        </w:tc>
        <w:tc>
          <w:tcPr>
            <w:tcW w:w="514" w:type="pct"/>
            <w:noWrap w:val="0"/>
            <w:vAlign w:val="center"/>
          </w:tcPr>
          <w:p w14:paraId="19D5F8D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7267EAF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104</w:t>
            </w:r>
          </w:p>
        </w:tc>
        <w:tc>
          <w:tcPr>
            <w:tcW w:w="608" w:type="pct"/>
            <w:noWrap w:val="0"/>
            <w:vAlign w:val="center"/>
          </w:tcPr>
          <w:p w14:paraId="6843B22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608" w:type="pct"/>
            <w:noWrap w:val="0"/>
            <w:vAlign w:val="center"/>
          </w:tcPr>
          <w:p w14:paraId="5394BBF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112</w:t>
            </w:r>
          </w:p>
        </w:tc>
        <w:tc>
          <w:tcPr>
            <w:tcW w:w="611" w:type="pct"/>
            <w:noWrap w:val="0"/>
            <w:vAlign w:val="center"/>
          </w:tcPr>
          <w:p w14:paraId="15D460B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106</w:t>
            </w:r>
          </w:p>
        </w:tc>
      </w:tr>
      <w:tr w14:paraId="77BF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5D4E394F">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4F34BA56">
            <w:pPr>
              <w:jc w:val="center"/>
              <w:rPr>
                <w:rFonts w:hint="default" w:ascii="Times New Roman" w:hAnsi="Times New Roman" w:eastAsia="宋体" w:cs="Times New Roman"/>
                <w:color w:val="auto"/>
                <w:kern w:val="2"/>
                <w:sz w:val="21"/>
                <w:szCs w:val="21"/>
                <w:lang w:val="en-US" w:eastAsia="zh-CN" w:bidi="ar-SA"/>
              </w:rPr>
            </w:pPr>
          </w:p>
        </w:tc>
        <w:tc>
          <w:tcPr>
            <w:tcW w:w="732" w:type="pct"/>
            <w:noWrap w:val="0"/>
            <w:vAlign w:val="center"/>
          </w:tcPr>
          <w:p w14:paraId="7516BC0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全盐量</w:t>
            </w:r>
          </w:p>
        </w:tc>
        <w:tc>
          <w:tcPr>
            <w:tcW w:w="514" w:type="pct"/>
            <w:noWrap w:val="0"/>
            <w:vAlign w:val="center"/>
          </w:tcPr>
          <w:p w14:paraId="2210575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shd w:val="clear" w:color="auto" w:fill="auto"/>
            <w:noWrap w:val="0"/>
            <w:vAlign w:val="center"/>
          </w:tcPr>
          <w:p w14:paraId="053284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2.24×10</w:t>
            </w:r>
            <w:r>
              <w:rPr>
                <w:rFonts w:hint="default" w:ascii="Times New Roman" w:hAnsi="Times New Roman" w:cs="Times New Roman"/>
                <w:color w:val="auto"/>
                <w:kern w:val="2"/>
                <w:sz w:val="21"/>
                <w:szCs w:val="21"/>
                <w:vertAlign w:val="superscript"/>
                <w:lang w:val="en-US" w:eastAsia="zh-CN" w:bidi="ar-SA"/>
              </w:rPr>
              <w:t>3</w:t>
            </w:r>
          </w:p>
        </w:tc>
        <w:tc>
          <w:tcPr>
            <w:tcW w:w="608" w:type="pct"/>
            <w:shd w:val="clear" w:color="auto" w:fill="auto"/>
            <w:noWrap w:val="0"/>
            <w:vAlign w:val="center"/>
          </w:tcPr>
          <w:p w14:paraId="1D06B3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2.09×10</w:t>
            </w:r>
            <w:r>
              <w:rPr>
                <w:rFonts w:hint="default" w:ascii="Times New Roman" w:hAnsi="Times New Roman" w:cs="Times New Roman"/>
                <w:color w:val="auto"/>
                <w:kern w:val="2"/>
                <w:sz w:val="21"/>
                <w:szCs w:val="21"/>
                <w:vertAlign w:val="superscript"/>
                <w:lang w:val="en-US" w:eastAsia="zh-CN" w:bidi="ar-SA"/>
              </w:rPr>
              <w:t>3</w:t>
            </w:r>
          </w:p>
        </w:tc>
        <w:tc>
          <w:tcPr>
            <w:tcW w:w="608" w:type="pct"/>
            <w:shd w:val="clear" w:color="auto" w:fill="auto"/>
            <w:noWrap w:val="0"/>
            <w:vAlign w:val="center"/>
          </w:tcPr>
          <w:p w14:paraId="5D5C5DD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2.14×10</w:t>
            </w:r>
            <w:r>
              <w:rPr>
                <w:rFonts w:hint="default" w:ascii="Times New Roman" w:hAnsi="Times New Roman" w:cs="Times New Roman"/>
                <w:color w:val="auto"/>
                <w:kern w:val="2"/>
                <w:sz w:val="21"/>
                <w:szCs w:val="21"/>
                <w:vertAlign w:val="superscript"/>
                <w:lang w:val="en-US" w:eastAsia="zh-CN" w:bidi="ar-SA"/>
              </w:rPr>
              <w:t>3</w:t>
            </w:r>
          </w:p>
        </w:tc>
        <w:tc>
          <w:tcPr>
            <w:tcW w:w="611" w:type="pct"/>
            <w:shd w:val="clear" w:color="auto" w:fill="auto"/>
            <w:noWrap w:val="0"/>
            <w:vAlign w:val="center"/>
          </w:tcPr>
          <w:p w14:paraId="33DB124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2.11×10</w:t>
            </w:r>
            <w:r>
              <w:rPr>
                <w:rFonts w:hint="default" w:ascii="Times New Roman" w:hAnsi="Times New Roman" w:cs="Times New Roman"/>
                <w:color w:val="auto"/>
                <w:kern w:val="2"/>
                <w:sz w:val="21"/>
                <w:szCs w:val="21"/>
                <w:vertAlign w:val="superscript"/>
                <w:lang w:val="en-US" w:eastAsia="zh-CN" w:bidi="ar-SA"/>
              </w:rPr>
              <w:t>3</w:t>
            </w:r>
          </w:p>
        </w:tc>
      </w:tr>
      <w:tr w14:paraId="0569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618F3B07">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174D58CA">
            <w:pPr>
              <w:jc w:val="center"/>
              <w:rPr>
                <w:rFonts w:hint="default" w:ascii="Times New Roman" w:hAnsi="Times New Roman" w:eastAsia="宋体" w:cs="Times New Roman"/>
                <w:color w:val="auto"/>
                <w:kern w:val="2"/>
                <w:sz w:val="21"/>
                <w:szCs w:val="21"/>
                <w:lang w:val="en-US" w:eastAsia="zh-CN" w:bidi="ar-SA"/>
              </w:rPr>
            </w:pPr>
          </w:p>
        </w:tc>
        <w:tc>
          <w:tcPr>
            <w:tcW w:w="732" w:type="pct"/>
            <w:noWrap w:val="0"/>
            <w:vAlign w:val="center"/>
          </w:tcPr>
          <w:p w14:paraId="5F64041D">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总磷</w:t>
            </w:r>
          </w:p>
        </w:tc>
        <w:tc>
          <w:tcPr>
            <w:tcW w:w="514" w:type="pct"/>
            <w:noWrap w:val="0"/>
            <w:vAlign w:val="center"/>
          </w:tcPr>
          <w:p w14:paraId="509FDE5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0763FF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0.46</w:t>
            </w:r>
          </w:p>
        </w:tc>
        <w:tc>
          <w:tcPr>
            <w:tcW w:w="608" w:type="pct"/>
            <w:noWrap w:val="0"/>
            <w:vAlign w:val="center"/>
          </w:tcPr>
          <w:p w14:paraId="685C82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0.47</w:t>
            </w:r>
          </w:p>
        </w:tc>
        <w:tc>
          <w:tcPr>
            <w:tcW w:w="608" w:type="pct"/>
            <w:noWrap w:val="0"/>
            <w:vAlign w:val="center"/>
          </w:tcPr>
          <w:p w14:paraId="62DF59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0.46</w:t>
            </w:r>
          </w:p>
        </w:tc>
        <w:tc>
          <w:tcPr>
            <w:tcW w:w="611" w:type="pct"/>
            <w:noWrap w:val="0"/>
            <w:vAlign w:val="center"/>
          </w:tcPr>
          <w:p w14:paraId="7C38BAF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0.44</w:t>
            </w:r>
          </w:p>
        </w:tc>
      </w:tr>
      <w:tr w14:paraId="3848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7328FDB4">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52C77858">
            <w:pPr>
              <w:jc w:val="center"/>
              <w:rPr>
                <w:rFonts w:hint="default" w:ascii="Times New Roman" w:hAnsi="Times New Roman" w:eastAsia="宋体" w:cs="Times New Roman"/>
                <w:color w:val="auto"/>
                <w:kern w:val="2"/>
                <w:sz w:val="21"/>
                <w:szCs w:val="21"/>
                <w:lang w:val="en-US" w:eastAsia="zh-CN" w:bidi="ar-SA"/>
              </w:rPr>
            </w:pPr>
          </w:p>
        </w:tc>
        <w:tc>
          <w:tcPr>
            <w:tcW w:w="732" w:type="pct"/>
            <w:noWrap w:val="0"/>
            <w:vAlign w:val="center"/>
          </w:tcPr>
          <w:p w14:paraId="43008C24">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r>
              <w:rPr>
                <w:rFonts w:hint="default" w:ascii="Times New Roman" w:hAnsi="Times New Roman" w:eastAsia="宋体" w:cs="Times New Roman"/>
                <w:i w:val="0"/>
                <w:color w:val="auto"/>
                <w:kern w:val="0"/>
                <w:sz w:val="21"/>
                <w:szCs w:val="21"/>
                <w:u w:val="none"/>
                <w:lang w:val="en-US" w:eastAsia="zh-CN" w:bidi="ar"/>
              </w:rPr>
              <w:t>流量</w:t>
            </w:r>
          </w:p>
        </w:tc>
        <w:tc>
          <w:tcPr>
            <w:tcW w:w="514" w:type="pct"/>
            <w:noWrap w:val="0"/>
            <w:vAlign w:val="center"/>
          </w:tcPr>
          <w:p w14:paraId="16F7B99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/h</w:t>
            </w:r>
          </w:p>
        </w:tc>
        <w:tc>
          <w:tcPr>
            <w:tcW w:w="608" w:type="pct"/>
            <w:noWrap w:val="0"/>
            <w:vAlign w:val="center"/>
          </w:tcPr>
          <w:p w14:paraId="6AE684F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8" w:type="pct"/>
            <w:noWrap w:val="0"/>
            <w:vAlign w:val="center"/>
          </w:tcPr>
          <w:p w14:paraId="43801A4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8" w:type="pct"/>
            <w:noWrap w:val="0"/>
            <w:vAlign w:val="center"/>
          </w:tcPr>
          <w:p w14:paraId="5C820BB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11" w:type="pct"/>
            <w:noWrap w:val="0"/>
            <w:vAlign w:val="center"/>
          </w:tcPr>
          <w:p w14:paraId="074754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4135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D262F88">
            <w:pPr>
              <w:jc w:val="center"/>
              <w:rPr>
                <w:rFonts w:hint="default" w:ascii="Times New Roman" w:hAnsi="Times New Roman" w:eastAsia="宋体" w:cs="Times New Roman"/>
                <w:color w:val="000000"/>
                <w:kern w:val="2"/>
                <w:sz w:val="21"/>
                <w:szCs w:val="21"/>
                <w:lang w:val="en-US" w:eastAsia="zh-CN" w:bidi="ar-SA"/>
              </w:rPr>
            </w:pPr>
          </w:p>
        </w:tc>
        <w:tc>
          <w:tcPr>
            <w:tcW w:w="615" w:type="pct"/>
            <w:vMerge w:val="restart"/>
            <w:noWrap w:val="0"/>
            <w:vAlign w:val="center"/>
          </w:tcPr>
          <w:p w14:paraId="6EA102B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一体化污水处理站出口</w:t>
            </w:r>
          </w:p>
        </w:tc>
        <w:tc>
          <w:tcPr>
            <w:tcW w:w="732" w:type="pct"/>
            <w:vMerge w:val="restart"/>
            <w:shd w:val="clear" w:color="auto" w:fill="auto"/>
            <w:noWrap w:val="0"/>
            <w:vAlign w:val="center"/>
          </w:tcPr>
          <w:p w14:paraId="192E09B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pH值</w:t>
            </w:r>
          </w:p>
        </w:tc>
        <w:tc>
          <w:tcPr>
            <w:tcW w:w="514" w:type="pct"/>
            <w:shd w:val="clear" w:color="auto" w:fill="auto"/>
            <w:noWrap w:val="0"/>
            <w:vAlign w:val="center"/>
          </w:tcPr>
          <w:p w14:paraId="0BBF44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无量纲</w:t>
            </w:r>
          </w:p>
        </w:tc>
        <w:tc>
          <w:tcPr>
            <w:tcW w:w="608" w:type="pct"/>
            <w:noWrap w:val="0"/>
            <w:vAlign w:val="center"/>
          </w:tcPr>
          <w:p w14:paraId="28E5669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8.1</w:t>
            </w:r>
          </w:p>
        </w:tc>
        <w:tc>
          <w:tcPr>
            <w:tcW w:w="608" w:type="pct"/>
            <w:noWrap w:val="0"/>
            <w:vAlign w:val="center"/>
          </w:tcPr>
          <w:p w14:paraId="6E6BBB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w:t>
            </w:r>
          </w:p>
        </w:tc>
        <w:tc>
          <w:tcPr>
            <w:tcW w:w="608" w:type="pct"/>
            <w:noWrap w:val="0"/>
            <w:vAlign w:val="center"/>
          </w:tcPr>
          <w:p w14:paraId="3F190D2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8.1</w:t>
            </w:r>
          </w:p>
        </w:tc>
        <w:tc>
          <w:tcPr>
            <w:tcW w:w="611" w:type="pct"/>
            <w:noWrap w:val="0"/>
            <w:vAlign w:val="center"/>
          </w:tcPr>
          <w:p w14:paraId="15CD1D6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w:t>
            </w:r>
          </w:p>
        </w:tc>
      </w:tr>
      <w:tr w14:paraId="2B78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0B23A525">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73755BF6">
            <w:pPr>
              <w:jc w:val="center"/>
              <w:rPr>
                <w:rFonts w:hint="default" w:ascii="Times New Roman" w:hAnsi="Times New Roman" w:eastAsia="宋体" w:cs="Times New Roman"/>
                <w:color w:val="auto"/>
                <w:kern w:val="2"/>
                <w:sz w:val="21"/>
                <w:szCs w:val="21"/>
                <w:lang w:val="en-US" w:eastAsia="zh-CN" w:bidi="ar-SA"/>
              </w:rPr>
            </w:pPr>
          </w:p>
        </w:tc>
        <w:tc>
          <w:tcPr>
            <w:tcW w:w="732" w:type="pct"/>
            <w:vMerge w:val="continue"/>
            <w:noWrap w:val="0"/>
            <w:vAlign w:val="center"/>
          </w:tcPr>
          <w:p w14:paraId="5478A578">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p>
        </w:tc>
        <w:tc>
          <w:tcPr>
            <w:tcW w:w="514" w:type="pct"/>
            <w:shd w:val="clear" w:color="auto" w:fill="auto"/>
            <w:noWrap w:val="0"/>
            <w:vAlign w:val="center"/>
          </w:tcPr>
          <w:p w14:paraId="0615217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08" w:type="pct"/>
            <w:noWrap w:val="0"/>
            <w:vAlign w:val="center"/>
          </w:tcPr>
          <w:p w14:paraId="5565ADF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16.2</w:t>
            </w:r>
          </w:p>
        </w:tc>
        <w:tc>
          <w:tcPr>
            <w:tcW w:w="608" w:type="pct"/>
            <w:noWrap w:val="0"/>
            <w:vAlign w:val="center"/>
          </w:tcPr>
          <w:p w14:paraId="0D87490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17.1</w:t>
            </w:r>
          </w:p>
        </w:tc>
        <w:tc>
          <w:tcPr>
            <w:tcW w:w="608" w:type="pct"/>
            <w:noWrap w:val="0"/>
            <w:vAlign w:val="center"/>
          </w:tcPr>
          <w:p w14:paraId="38C778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18.4</w:t>
            </w:r>
          </w:p>
        </w:tc>
        <w:tc>
          <w:tcPr>
            <w:tcW w:w="611" w:type="pct"/>
            <w:noWrap w:val="0"/>
            <w:vAlign w:val="center"/>
          </w:tcPr>
          <w:p w14:paraId="4875D61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18.8</w:t>
            </w:r>
          </w:p>
        </w:tc>
      </w:tr>
      <w:tr w14:paraId="05D2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1961F60">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60CC7152">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3EC50A3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化学需氧量</w:t>
            </w:r>
          </w:p>
        </w:tc>
        <w:tc>
          <w:tcPr>
            <w:tcW w:w="514" w:type="pct"/>
            <w:shd w:val="clear" w:color="auto" w:fill="auto"/>
            <w:noWrap w:val="0"/>
            <w:vAlign w:val="center"/>
          </w:tcPr>
          <w:p w14:paraId="4792A2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0F880B4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59</w:t>
            </w:r>
          </w:p>
        </w:tc>
        <w:tc>
          <w:tcPr>
            <w:tcW w:w="608" w:type="pct"/>
            <w:noWrap w:val="0"/>
            <w:vAlign w:val="center"/>
          </w:tcPr>
          <w:p w14:paraId="41DB2CA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58</w:t>
            </w:r>
          </w:p>
        </w:tc>
        <w:tc>
          <w:tcPr>
            <w:tcW w:w="608" w:type="pct"/>
            <w:noWrap w:val="0"/>
            <w:vAlign w:val="center"/>
          </w:tcPr>
          <w:p w14:paraId="67CDA1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56</w:t>
            </w:r>
          </w:p>
        </w:tc>
        <w:tc>
          <w:tcPr>
            <w:tcW w:w="611" w:type="pct"/>
            <w:noWrap w:val="0"/>
            <w:vAlign w:val="center"/>
          </w:tcPr>
          <w:p w14:paraId="2093E5B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53</w:t>
            </w:r>
          </w:p>
        </w:tc>
      </w:tr>
      <w:tr w14:paraId="730D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329544BC">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3A3E2677">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5F0FE6E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氨氮</w:t>
            </w:r>
          </w:p>
        </w:tc>
        <w:tc>
          <w:tcPr>
            <w:tcW w:w="514" w:type="pct"/>
            <w:shd w:val="clear" w:color="auto" w:fill="auto"/>
            <w:noWrap w:val="0"/>
            <w:vAlign w:val="center"/>
          </w:tcPr>
          <w:p w14:paraId="69322C7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1129" w:type="dxa"/>
            <w:noWrap w:val="0"/>
            <w:vAlign w:val="center"/>
          </w:tcPr>
          <w:p w14:paraId="0BE1D26D">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1.47</w:t>
            </w:r>
          </w:p>
        </w:tc>
        <w:tc>
          <w:tcPr>
            <w:tcW w:w="1129" w:type="dxa"/>
            <w:noWrap w:val="0"/>
            <w:vAlign w:val="center"/>
          </w:tcPr>
          <w:p w14:paraId="70F00A2A">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1.60</w:t>
            </w:r>
          </w:p>
        </w:tc>
        <w:tc>
          <w:tcPr>
            <w:tcW w:w="1129" w:type="dxa"/>
            <w:noWrap w:val="0"/>
            <w:vAlign w:val="center"/>
          </w:tcPr>
          <w:p w14:paraId="5E2C8327">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1.41</w:t>
            </w:r>
          </w:p>
        </w:tc>
        <w:tc>
          <w:tcPr>
            <w:tcW w:w="1136" w:type="dxa"/>
            <w:noWrap w:val="0"/>
            <w:vAlign w:val="center"/>
          </w:tcPr>
          <w:p w14:paraId="54DCDEFD">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1.43</w:t>
            </w:r>
          </w:p>
        </w:tc>
      </w:tr>
      <w:tr w14:paraId="49F7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7B8FC53D">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655A9901">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76BF1FD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硫酸盐</w:t>
            </w:r>
          </w:p>
        </w:tc>
        <w:tc>
          <w:tcPr>
            <w:tcW w:w="514" w:type="pct"/>
            <w:shd w:val="clear" w:color="auto" w:fill="auto"/>
            <w:noWrap w:val="0"/>
            <w:vAlign w:val="center"/>
          </w:tcPr>
          <w:p w14:paraId="39D4FAF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4FF0F0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219</w:t>
            </w:r>
          </w:p>
        </w:tc>
        <w:tc>
          <w:tcPr>
            <w:tcW w:w="608" w:type="pct"/>
            <w:noWrap w:val="0"/>
            <w:vAlign w:val="center"/>
          </w:tcPr>
          <w:p w14:paraId="5713F57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209</w:t>
            </w:r>
          </w:p>
        </w:tc>
        <w:tc>
          <w:tcPr>
            <w:tcW w:w="608" w:type="pct"/>
            <w:noWrap w:val="0"/>
            <w:vAlign w:val="center"/>
          </w:tcPr>
          <w:p w14:paraId="7262707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163</w:t>
            </w:r>
          </w:p>
        </w:tc>
        <w:tc>
          <w:tcPr>
            <w:tcW w:w="611" w:type="pct"/>
            <w:noWrap w:val="0"/>
            <w:vAlign w:val="center"/>
          </w:tcPr>
          <w:p w14:paraId="55168C1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146</w:t>
            </w:r>
          </w:p>
        </w:tc>
      </w:tr>
      <w:tr w14:paraId="2061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2A5193D7">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1767E8C6">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7A42E03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rPr>
              <w:t>悬浮物</w:t>
            </w:r>
          </w:p>
        </w:tc>
        <w:tc>
          <w:tcPr>
            <w:tcW w:w="514" w:type="pct"/>
            <w:shd w:val="clear" w:color="auto" w:fill="auto"/>
            <w:noWrap w:val="0"/>
            <w:vAlign w:val="center"/>
          </w:tcPr>
          <w:p w14:paraId="2417D98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21291E1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25</w:t>
            </w:r>
          </w:p>
        </w:tc>
        <w:tc>
          <w:tcPr>
            <w:tcW w:w="608" w:type="pct"/>
            <w:noWrap w:val="0"/>
            <w:vAlign w:val="center"/>
          </w:tcPr>
          <w:p w14:paraId="2DC3E3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w:t>
            </w:r>
          </w:p>
        </w:tc>
        <w:tc>
          <w:tcPr>
            <w:tcW w:w="608" w:type="pct"/>
            <w:noWrap w:val="0"/>
            <w:vAlign w:val="center"/>
          </w:tcPr>
          <w:p w14:paraId="050E31A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w:t>
            </w:r>
          </w:p>
        </w:tc>
        <w:tc>
          <w:tcPr>
            <w:tcW w:w="611" w:type="pct"/>
            <w:noWrap w:val="0"/>
            <w:vAlign w:val="center"/>
          </w:tcPr>
          <w:p w14:paraId="39C7E97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w:t>
            </w:r>
          </w:p>
        </w:tc>
      </w:tr>
      <w:tr w14:paraId="27C8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0285C885">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1DC52805">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73E124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全盐量</w:t>
            </w:r>
          </w:p>
        </w:tc>
        <w:tc>
          <w:tcPr>
            <w:tcW w:w="514" w:type="pct"/>
            <w:shd w:val="clear" w:color="auto" w:fill="auto"/>
            <w:noWrap w:val="0"/>
            <w:vAlign w:val="center"/>
          </w:tcPr>
          <w:p w14:paraId="322EEE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2F1287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1.07×10</w:t>
            </w:r>
            <w:r>
              <w:rPr>
                <w:rFonts w:hint="default" w:ascii="Times New Roman" w:hAnsi="Times New Roman" w:cs="Times New Roman"/>
                <w:color w:val="auto"/>
                <w:kern w:val="2"/>
                <w:sz w:val="21"/>
                <w:szCs w:val="21"/>
                <w:vertAlign w:val="superscript"/>
                <w:lang w:val="en-US" w:eastAsia="zh-CN" w:bidi="ar-SA"/>
              </w:rPr>
              <w:t>3</w:t>
            </w:r>
          </w:p>
        </w:tc>
        <w:tc>
          <w:tcPr>
            <w:tcW w:w="608" w:type="pct"/>
            <w:noWrap w:val="0"/>
            <w:vAlign w:val="center"/>
          </w:tcPr>
          <w:p w14:paraId="01D1B9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1.11×10</w:t>
            </w:r>
            <w:r>
              <w:rPr>
                <w:rFonts w:hint="default" w:ascii="Times New Roman" w:hAnsi="Times New Roman" w:cs="Times New Roman"/>
                <w:color w:val="auto"/>
                <w:kern w:val="2"/>
                <w:sz w:val="21"/>
                <w:szCs w:val="21"/>
                <w:vertAlign w:val="superscript"/>
                <w:lang w:val="en-US" w:eastAsia="zh-CN" w:bidi="ar-SA"/>
              </w:rPr>
              <w:t>3</w:t>
            </w:r>
          </w:p>
        </w:tc>
        <w:tc>
          <w:tcPr>
            <w:tcW w:w="608" w:type="pct"/>
            <w:noWrap w:val="0"/>
            <w:vAlign w:val="center"/>
          </w:tcPr>
          <w:p w14:paraId="5F82CC7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1.19×10</w:t>
            </w:r>
            <w:r>
              <w:rPr>
                <w:rFonts w:hint="default" w:ascii="Times New Roman" w:hAnsi="Times New Roman" w:cs="Times New Roman"/>
                <w:color w:val="auto"/>
                <w:kern w:val="2"/>
                <w:sz w:val="21"/>
                <w:szCs w:val="21"/>
                <w:vertAlign w:val="superscript"/>
                <w:lang w:val="en-US" w:eastAsia="zh-CN" w:bidi="ar-SA"/>
              </w:rPr>
              <w:t>3</w:t>
            </w:r>
          </w:p>
        </w:tc>
        <w:tc>
          <w:tcPr>
            <w:tcW w:w="611" w:type="pct"/>
            <w:noWrap w:val="0"/>
            <w:vAlign w:val="center"/>
          </w:tcPr>
          <w:p w14:paraId="164318D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1.12×10</w:t>
            </w:r>
            <w:r>
              <w:rPr>
                <w:rFonts w:hint="default" w:ascii="Times New Roman" w:hAnsi="Times New Roman" w:cs="Times New Roman"/>
                <w:color w:val="auto"/>
                <w:kern w:val="2"/>
                <w:sz w:val="21"/>
                <w:szCs w:val="21"/>
                <w:vertAlign w:val="superscript"/>
                <w:lang w:val="en-US" w:eastAsia="zh-CN" w:bidi="ar-SA"/>
              </w:rPr>
              <w:t>3</w:t>
            </w:r>
          </w:p>
        </w:tc>
      </w:tr>
      <w:tr w14:paraId="486D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66B64DA1">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4E204F36">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1E2F1AFC">
            <w:pPr>
              <w:jc w:val="center"/>
              <w:rPr>
                <w:rFonts w:hint="default" w:ascii="Times New Roman" w:hAnsi="Times New Roman" w:eastAsia="宋体" w:cs="Times New Roman"/>
                <w:b w:val="0"/>
                <w:bCs w:val="0"/>
                <w:i w:val="0"/>
                <w:iCs w:val="0"/>
                <w:caps w:val="0"/>
                <w:color w:val="000000"/>
                <w:spacing w:val="0"/>
                <w:kern w:val="2"/>
                <w:sz w:val="21"/>
                <w:szCs w:val="21"/>
                <w:highlight w:val="none"/>
                <w:shd w:val="clear" w:color="auto" w:fill="FFFFFF"/>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t>总磷</w:t>
            </w:r>
          </w:p>
        </w:tc>
        <w:tc>
          <w:tcPr>
            <w:tcW w:w="514" w:type="pct"/>
            <w:shd w:val="clear" w:color="auto" w:fill="auto"/>
            <w:noWrap w:val="0"/>
            <w:vAlign w:val="center"/>
          </w:tcPr>
          <w:p w14:paraId="71AD6EE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608" w:type="pct"/>
            <w:noWrap w:val="0"/>
            <w:vAlign w:val="center"/>
          </w:tcPr>
          <w:p w14:paraId="126A6E6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0.14</w:t>
            </w:r>
          </w:p>
        </w:tc>
        <w:tc>
          <w:tcPr>
            <w:tcW w:w="608" w:type="pct"/>
            <w:noWrap w:val="0"/>
            <w:vAlign w:val="center"/>
          </w:tcPr>
          <w:p w14:paraId="1DB0A9F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0.12</w:t>
            </w:r>
          </w:p>
        </w:tc>
        <w:tc>
          <w:tcPr>
            <w:tcW w:w="608" w:type="pct"/>
            <w:noWrap w:val="0"/>
            <w:vAlign w:val="center"/>
          </w:tcPr>
          <w:p w14:paraId="7ADAACC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0.14</w:t>
            </w:r>
          </w:p>
        </w:tc>
        <w:tc>
          <w:tcPr>
            <w:tcW w:w="611" w:type="pct"/>
            <w:noWrap w:val="0"/>
            <w:vAlign w:val="center"/>
          </w:tcPr>
          <w:p w14:paraId="6C09093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0.13</w:t>
            </w:r>
          </w:p>
        </w:tc>
      </w:tr>
      <w:tr w14:paraId="4CD1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Merge w:val="continue"/>
            <w:noWrap w:val="0"/>
            <w:vAlign w:val="center"/>
          </w:tcPr>
          <w:p w14:paraId="4820114C">
            <w:pPr>
              <w:jc w:val="center"/>
              <w:rPr>
                <w:rFonts w:hint="default" w:ascii="Times New Roman" w:hAnsi="Times New Roman" w:eastAsia="宋体" w:cs="Times New Roman"/>
                <w:color w:val="000000"/>
                <w:kern w:val="2"/>
                <w:sz w:val="21"/>
                <w:szCs w:val="21"/>
                <w:lang w:val="en-US" w:eastAsia="zh-CN" w:bidi="ar-SA"/>
              </w:rPr>
            </w:pPr>
          </w:p>
        </w:tc>
        <w:tc>
          <w:tcPr>
            <w:tcW w:w="615" w:type="pct"/>
            <w:vMerge w:val="continue"/>
            <w:noWrap w:val="0"/>
            <w:vAlign w:val="center"/>
          </w:tcPr>
          <w:p w14:paraId="35B2AA24">
            <w:pPr>
              <w:jc w:val="center"/>
              <w:rPr>
                <w:rFonts w:hint="default" w:ascii="Times New Roman" w:hAnsi="Times New Roman" w:eastAsia="宋体" w:cs="Times New Roman"/>
                <w:color w:val="auto"/>
                <w:kern w:val="2"/>
                <w:sz w:val="21"/>
                <w:szCs w:val="21"/>
                <w:lang w:val="en-US" w:eastAsia="zh-CN" w:bidi="ar-SA"/>
              </w:rPr>
            </w:pPr>
          </w:p>
        </w:tc>
        <w:tc>
          <w:tcPr>
            <w:tcW w:w="732" w:type="pct"/>
            <w:shd w:val="clear" w:color="auto" w:fill="auto"/>
            <w:noWrap w:val="0"/>
            <w:vAlign w:val="center"/>
          </w:tcPr>
          <w:p w14:paraId="7FE55965">
            <w:pPr>
              <w:jc w:val="center"/>
              <w:rPr>
                <w:rFonts w:hint="default" w:ascii="Times New Roman" w:hAnsi="Times New Roman" w:eastAsia="宋体" w:cs="Times New Roman"/>
                <w:b w:val="0"/>
                <w:bCs w:val="0"/>
                <w:i w:val="0"/>
                <w:iCs w:val="0"/>
                <w:caps w:val="0"/>
                <w:color w:val="000000"/>
                <w:spacing w:val="0"/>
                <w:sz w:val="21"/>
                <w:szCs w:val="21"/>
                <w:highlight w:val="none"/>
                <w:shd w:val="clear" w:color="auto" w:fill="FFFFFF"/>
                <w:lang w:eastAsia="zh-CN"/>
              </w:rPr>
            </w:pPr>
            <w:r>
              <w:rPr>
                <w:rFonts w:hint="default" w:ascii="Times New Roman" w:hAnsi="Times New Roman" w:eastAsia="宋体" w:cs="Times New Roman"/>
                <w:i w:val="0"/>
                <w:color w:val="auto"/>
                <w:kern w:val="0"/>
                <w:sz w:val="21"/>
                <w:szCs w:val="21"/>
                <w:u w:val="none"/>
                <w:lang w:val="en-US" w:eastAsia="zh-CN" w:bidi="ar"/>
              </w:rPr>
              <w:t>流量</w:t>
            </w:r>
          </w:p>
        </w:tc>
        <w:tc>
          <w:tcPr>
            <w:tcW w:w="514" w:type="pct"/>
            <w:shd w:val="clear" w:color="auto" w:fill="auto"/>
            <w:noWrap w:val="0"/>
            <w:vAlign w:val="center"/>
          </w:tcPr>
          <w:p w14:paraId="3C7325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/h</w:t>
            </w:r>
          </w:p>
        </w:tc>
        <w:tc>
          <w:tcPr>
            <w:tcW w:w="608" w:type="pct"/>
            <w:noWrap w:val="0"/>
            <w:vAlign w:val="center"/>
          </w:tcPr>
          <w:p w14:paraId="11B5309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8" w:type="pct"/>
            <w:noWrap w:val="0"/>
            <w:vAlign w:val="center"/>
          </w:tcPr>
          <w:p w14:paraId="1201129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08" w:type="pct"/>
            <w:noWrap w:val="0"/>
            <w:vAlign w:val="center"/>
          </w:tcPr>
          <w:p w14:paraId="280305A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11" w:type="pct"/>
            <w:noWrap w:val="0"/>
            <w:vAlign w:val="center"/>
          </w:tcPr>
          <w:p w14:paraId="61B9CA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bl>
    <w:p w14:paraId="4C9C0B88">
      <w:pPr>
        <w:pStyle w:val="50"/>
        <w:numPr>
          <w:ilvl w:val="0"/>
          <w:numId w:val="0"/>
        </w:numPr>
        <w:spacing w:line="360" w:lineRule="auto"/>
        <w:ind w:firstLine="480" w:firstLineChars="200"/>
        <w:jc w:val="both"/>
        <w:rPr>
          <w:rFonts w:hint="default"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根据监测结果废水中pH、化学需氧量、氨氮、硫酸盐、悬浮物、全盐量、总磷排放浓度满足成武县港航产业园污水处理厂进水水质要求。</w:t>
      </w:r>
    </w:p>
    <w:p w14:paraId="2487ECC3">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9.2.1.2废气</w:t>
      </w:r>
    </w:p>
    <w:p w14:paraId="4F2AE14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1、有组织排放</w:t>
      </w:r>
    </w:p>
    <w:p w14:paraId="3E095C8D">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有组织废气监测结果见表9-</w:t>
      </w:r>
      <w:r>
        <w:rPr>
          <w:rFonts w:hint="eastAsia" w:cs="Times New Roman"/>
          <w:color w:val="000000"/>
          <w:sz w:val="24"/>
          <w:szCs w:val="28"/>
          <w:lang w:val="en-US" w:eastAsia="zh-CN"/>
        </w:rPr>
        <w:t>3</w:t>
      </w:r>
      <w:r>
        <w:rPr>
          <w:rFonts w:hint="default" w:ascii="Times New Roman" w:hAnsi="Times New Roman" w:cs="Times New Roman"/>
          <w:color w:val="000000"/>
          <w:sz w:val="24"/>
          <w:szCs w:val="28"/>
        </w:rPr>
        <w:t>。</w:t>
      </w:r>
    </w:p>
    <w:p w14:paraId="1CB6A5FE">
      <w:pPr>
        <w:pStyle w:val="3"/>
        <w:spacing w:after="0" w:line="240" w:lineRule="auto"/>
        <w:ind w:left="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表9-</w:t>
      </w:r>
      <w:r>
        <w:rPr>
          <w:rFonts w:hint="eastAsia" w:cs="Times New Roman"/>
          <w:b/>
          <w:bCs w:val="0"/>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有组织废气监测结果汇总</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157"/>
        <w:gridCol w:w="1026"/>
        <w:gridCol w:w="1026"/>
        <w:gridCol w:w="1026"/>
        <w:gridCol w:w="1026"/>
        <w:gridCol w:w="1026"/>
        <w:gridCol w:w="1027"/>
      </w:tblGrid>
      <w:tr w14:paraId="56BD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84" w:type="pct"/>
            <w:gridSpan w:val="2"/>
            <w:vMerge w:val="restart"/>
            <w:vAlign w:val="center"/>
          </w:tcPr>
          <w:p w14:paraId="7F2408C2">
            <w:pPr>
              <w:spacing w:line="360" w:lineRule="auto"/>
              <w:jc w:val="center"/>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686912" behindDoc="0" locked="0" layoutInCell="1" allowOverlap="1">
                      <wp:simplePos x="0" y="0"/>
                      <wp:positionH relativeFrom="column">
                        <wp:posOffset>886460</wp:posOffset>
                      </wp:positionH>
                      <wp:positionV relativeFrom="paragraph">
                        <wp:posOffset>1905</wp:posOffset>
                      </wp:positionV>
                      <wp:extent cx="1189990" cy="46609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189990" cy="466090"/>
                              </a:xfrm>
                              <a:prstGeom prst="rect">
                                <a:avLst/>
                              </a:prstGeom>
                              <a:noFill/>
                              <a:ln>
                                <a:noFill/>
                              </a:ln>
                              <a:effectLst/>
                            </wps:spPr>
                            <wps:txbx>
                              <w:txbxContent>
                                <w:p w14:paraId="0CB10E70">
                                  <w:r>
                                    <w:rPr>
                                      <w:rFonts w:hint="eastAsia"/>
                                    </w:rPr>
                                    <w:t>采样日期及频次</w:t>
                                  </w:r>
                                </w:p>
                              </w:txbxContent>
                            </wps:txbx>
                            <wps:bodyPr upright="1"/>
                          </wps:wsp>
                        </a:graphicData>
                      </a:graphic>
                    </wp:anchor>
                  </w:drawing>
                </mc:Choice>
                <mc:Fallback>
                  <w:pict>
                    <v:shape id="_x0000_s1026" o:spid="_x0000_s1026" o:spt="202" type="#_x0000_t202" style="position:absolute;left:0pt;margin-left:69.8pt;margin-top:0.15pt;height:36.7pt;width:93.7pt;z-index:251686912;mso-width-relative:page;mso-height-relative:page;" filled="f" stroked="f" coordsize="21600,21600" o:gfxdata="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yKFjtQA&#10;AAAHAQAADwAAAAAAAAABACAAAAAiAAAAZHJzL2Rvd25yZXYueG1sUEsBAhQAFAAAAAgAh07iQIeq&#10;T8exAQAAXgMAAA4AAAAAAAAAAQAgAAAAIwEAAGRycy9lMm9Eb2MueG1sUEsFBgAAAAAGAAYAWQEA&#10;AEYFAAAAAA==&#10;">
                      <v:fill on="f" focussize="0,0"/>
                      <v:stroke on="f"/>
                      <v:imagedata o:title=""/>
                      <o:lock v:ext="edit" aspectratio="f"/>
                      <v:textbox>
                        <w:txbxContent>
                          <w:p w14:paraId="0CB10E70">
                            <w:r>
                              <w:rPr>
                                <w:rFonts w:hint="eastAsia"/>
                              </w:rPr>
                              <w:t>采样日期及频次</w:t>
                            </w:r>
                          </w:p>
                        </w:txbxContent>
                      </v:textbox>
                    </v:shape>
                  </w:pict>
                </mc:Fallback>
              </mc:AlternateContent>
            </w:r>
            <w:r>
              <w:rPr>
                <w:rFonts w:hint="default" w:ascii="Times New Roman" w:hAnsi="Times New Roman" w:cs="Times New Roman"/>
                <w:color w:val="000000" w:themeColor="text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-158750</wp:posOffset>
                      </wp:positionH>
                      <wp:positionV relativeFrom="paragraph">
                        <wp:posOffset>118745</wp:posOffset>
                      </wp:positionV>
                      <wp:extent cx="523240" cy="51117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523240" cy="511175"/>
                              </a:xfrm>
                              <a:prstGeom prst="rect">
                                <a:avLst/>
                              </a:prstGeom>
                              <a:noFill/>
                              <a:ln>
                                <a:noFill/>
                              </a:ln>
                              <a:effectLst/>
                            </wps:spPr>
                            <wps:txbx>
                              <w:txbxContent>
                                <w:p w14:paraId="68F33E19">
                                  <w:pPr>
                                    <w:jc w:val="left"/>
                                  </w:pPr>
                                  <w:r>
                                    <w:rPr>
                                      <w:rFonts w:hint="eastAsia"/>
                                    </w:rPr>
                                    <w:t>采样点位</w:t>
                                  </w:r>
                                </w:p>
                              </w:txbxContent>
                            </wps:txbx>
                            <wps:bodyPr upright="1"/>
                          </wps:wsp>
                        </a:graphicData>
                      </a:graphic>
                    </wp:anchor>
                  </w:drawing>
                </mc:Choice>
                <mc:Fallback>
                  <w:pict>
                    <v:shape id="_x0000_s1026" o:spid="_x0000_s1026" o:spt="202" type="#_x0000_t202" style="position:absolute;left:0pt;margin-left:-12.5pt;margin-top:9.35pt;height:40.25pt;width:41.2pt;z-index:251691008;mso-width-relative:page;mso-height-relative:page;" filled="f" stroked="f" coordsize="21600,21600" o:gfxdata="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HUG&#10;jdYAAAAIAQAADwAAAAAAAAABACAAAAAiAAAAZHJzL2Rvd25yZXYueG1sUEsBAhQAFAAAAAgAh07i&#10;QGR4Ot6yAQAAXwMAAA4AAAAAAAAAAQAgAAAAJQEAAGRycy9lMm9Eb2MueG1sUEsFBgAAAAAGAAYA&#10;WQEAAEkFAAAAAA==&#10;">
                      <v:fill on="f" focussize="0,0"/>
                      <v:stroke on="f"/>
                      <v:imagedata o:title=""/>
                      <o:lock v:ext="edit" aspectratio="f"/>
                      <v:textbox>
                        <w:txbxContent>
                          <w:p w14:paraId="68F33E19">
                            <w:pPr>
                              <w:jc w:val="left"/>
                            </w:pPr>
                            <w:r>
                              <w:rPr>
                                <w:rFonts w:hint="eastAsia"/>
                              </w:rPr>
                              <w:t>采样点位</w:t>
                            </w:r>
                          </w:p>
                        </w:txbxContent>
                      </v:textbox>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7936" behindDoc="0" locked="0" layoutInCell="1" allowOverlap="1">
                      <wp:simplePos x="0" y="0"/>
                      <wp:positionH relativeFrom="column">
                        <wp:posOffset>589280</wp:posOffset>
                      </wp:positionH>
                      <wp:positionV relativeFrom="paragraph">
                        <wp:posOffset>231140</wp:posOffset>
                      </wp:positionV>
                      <wp:extent cx="734060" cy="2667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734060" cy="266700"/>
                              </a:xfrm>
                              <a:prstGeom prst="rect">
                                <a:avLst/>
                              </a:prstGeom>
                              <a:noFill/>
                              <a:ln>
                                <a:noFill/>
                              </a:ln>
                              <a:effectLst/>
                            </wps:spPr>
                            <wps:txbx>
                              <w:txbxContent>
                                <w:p w14:paraId="13C5E6C6">
                                  <w:r>
                                    <w:rPr>
                                      <w:rFonts w:hint="eastAsia"/>
                                    </w:rPr>
                                    <w:t>检测项目</w:t>
                                  </w:r>
                                </w:p>
                              </w:txbxContent>
                            </wps:txbx>
                            <wps:bodyPr upright="1"/>
                          </wps:wsp>
                        </a:graphicData>
                      </a:graphic>
                    </wp:anchor>
                  </w:drawing>
                </mc:Choice>
                <mc:Fallback>
                  <w:pict>
                    <v:shape id="_x0000_s1026" o:spid="_x0000_s1026" o:spt="202" type="#_x0000_t202" style="position:absolute;left:0pt;margin-left:46.4pt;margin-top:18.2pt;height:21pt;width:57.8pt;z-index:251687936;mso-width-relative:page;mso-height-relative:page;" filled="f" stroked="f" coordsize="21600,21600" o:gfxdata="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BU9&#10;QNUAAAAIAQAADwAAAAAAAAABACAAAAAiAAAAZHJzL2Rvd25yZXYueG1sUEsBAhQAFAAAAAgAh07i&#10;QNIODgKzAQAAXwMAAA4AAAAAAAAAAQAgAAAAJAEAAGRycy9lMm9Eb2MueG1sUEsFBgAAAAAGAAYA&#10;WQEAAEkFAAAAAA==&#10;">
                      <v:fill on="f" focussize="0,0"/>
                      <v:stroke on="f"/>
                      <v:imagedata o:title=""/>
                      <o:lock v:ext="edit" aspectratio="f"/>
                      <v:textbox>
                        <w:txbxContent>
                          <w:p w14:paraId="13C5E6C6">
                            <w:r>
                              <w:rPr>
                                <w:rFonts w:hint="eastAsia"/>
                              </w:rPr>
                              <w:t>检测项目</w:t>
                            </w:r>
                          </w:p>
                        </w:txbxContent>
                      </v:textbox>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9984" behindDoc="0" locked="0" layoutInCell="1" allowOverlap="1">
                      <wp:simplePos x="0" y="0"/>
                      <wp:positionH relativeFrom="column">
                        <wp:posOffset>-69850</wp:posOffset>
                      </wp:positionH>
                      <wp:positionV relativeFrom="paragraph">
                        <wp:posOffset>-1905</wp:posOffset>
                      </wp:positionV>
                      <wp:extent cx="2126615" cy="534035"/>
                      <wp:effectExtent l="1270" t="4445" r="5715" b="13970"/>
                      <wp:wrapNone/>
                      <wp:docPr id="171" name="直接箭头连接符 171"/>
                      <wp:cNvGraphicFramePr/>
                      <a:graphic xmlns:a="http://schemas.openxmlformats.org/drawingml/2006/main">
                        <a:graphicData uri="http://schemas.microsoft.com/office/word/2010/wordprocessingShape">
                          <wps:wsp>
                            <wps:cNvCnPr/>
                            <wps:spPr>
                              <a:xfrm>
                                <a:off x="0" y="0"/>
                                <a:ext cx="2126615" cy="53403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5.5pt;margin-top:-0.15pt;height:42.05pt;width:167.45pt;z-index:251689984;mso-width-relative:page;mso-height-relative:page;" filled="f" stroked="t" coordsize="21600,21600" o:gfxdata="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BCbK1wAAAAgBAAAPAAAAAAAAAAEAIAAAACIAAABk&#10;cnMvZG93bnJldi54bWxQSwECFAAUAAAACACHTuJAjgk+KgcCAAD/Aw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8960" behindDoc="0" locked="0" layoutInCell="1" allowOverlap="1">
                      <wp:simplePos x="0" y="0"/>
                      <wp:positionH relativeFrom="column">
                        <wp:posOffset>-58420</wp:posOffset>
                      </wp:positionH>
                      <wp:positionV relativeFrom="paragraph">
                        <wp:posOffset>21590</wp:posOffset>
                      </wp:positionV>
                      <wp:extent cx="695960" cy="529590"/>
                      <wp:effectExtent l="3175" t="3810" r="5715" b="19050"/>
                      <wp:wrapNone/>
                      <wp:docPr id="170" name="直接箭头连接符 170"/>
                      <wp:cNvGraphicFramePr/>
                      <a:graphic xmlns:a="http://schemas.openxmlformats.org/drawingml/2006/main">
                        <a:graphicData uri="http://schemas.microsoft.com/office/word/2010/wordprocessingShape">
                          <wps:wsp>
                            <wps:cNvCnPr/>
                            <wps:spPr>
                              <a:xfrm>
                                <a:off x="0" y="0"/>
                                <a:ext cx="695960" cy="52959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4.6pt;margin-top:1.7pt;height:41.7pt;width:54.8pt;z-index:251688960;mso-width-relative:page;mso-height-relative:page;" filled="f" stroked="t" coordsize="21600,21600" o:gfxdata="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EMak1gAAAAcBAAAPAAAAAAAAAAEAIAAAACIAAABk&#10;cnMvZG93bnJldi54bWxQSwECFAAUAAAACACHTuJAb4UPeQgCAAD+AwAADgAAAAAAAAABACAAAAAl&#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szCs w:val="21"/>
              </w:rPr>
              <w:t xml:space="preserve">    </w:t>
            </w:r>
          </w:p>
        </w:tc>
        <w:tc>
          <w:tcPr>
            <w:tcW w:w="1657" w:type="pct"/>
            <w:gridSpan w:val="3"/>
            <w:vAlign w:val="center"/>
          </w:tcPr>
          <w:p w14:paraId="305F017B">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2024.11.25</w:t>
            </w:r>
          </w:p>
        </w:tc>
        <w:tc>
          <w:tcPr>
            <w:tcW w:w="1657" w:type="pct"/>
            <w:gridSpan w:val="3"/>
            <w:vAlign w:val="center"/>
          </w:tcPr>
          <w:p w14:paraId="5B9E2FB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2024.11.26</w:t>
            </w:r>
          </w:p>
        </w:tc>
      </w:tr>
      <w:tr w14:paraId="037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84" w:type="pct"/>
            <w:gridSpan w:val="2"/>
            <w:vMerge w:val="continue"/>
            <w:vAlign w:val="center"/>
          </w:tcPr>
          <w:p w14:paraId="396D7DEE">
            <w:pPr>
              <w:spacing w:line="360" w:lineRule="auto"/>
              <w:jc w:val="center"/>
              <w:rPr>
                <w:rFonts w:hint="default" w:ascii="Times New Roman" w:hAnsi="Times New Roman" w:cs="Times New Roman"/>
                <w:szCs w:val="21"/>
              </w:rPr>
            </w:pPr>
          </w:p>
        </w:tc>
        <w:tc>
          <w:tcPr>
            <w:tcW w:w="552" w:type="pct"/>
            <w:vAlign w:val="center"/>
          </w:tcPr>
          <w:p w14:paraId="3D0938EB">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552" w:type="pct"/>
            <w:vAlign w:val="center"/>
          </w:tcPr>
          <w:p w14:paraId="1D094AA2">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eastAsia="zh-CN"/>
              </w:rPr>
              <w:t>二</w:t>
            </w:r>
            <w:r>
              <w:rPr>
                <w:rFonts w:hint="default" w:ascii="Times New Roman" w:hAnsi="Times New Roman" w:cs="Times New Roman"/>
                <w:color w:val="auto"/>
                <w:szCs w:val="21"/>
              </w:rPr>
              <w:t>次</w:t>
            </w:r>
          </w:p>
        </w:tc>
        <w:tc>
          <w:tcPr>
            <w:tcW w:w="552" w:type="pct"/>
            <w:vAlign w:val="center"/>
          </w:tcPr>
          <w:p w14:paraId="0F2B526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w:t>
            </w:r>
            <w:r>
              <w:rPr>
                <w:rFonts w:hint="default" w:ascii="Times New Roman" w:hAnsi="Times New Roman" w:cs="Times New Roman"/>
                <w:color w:val="auto"/>
                <w:szCs w:val="21"/>
                <w:lang w:eastAsia="zh-CN"/>
              </w:rPr>
              <w:t>三</w:t>
            </w:r>
            <w:r>
              <w:rPr>
                <w:rFonts w:hint="default" w:ascii="Times New Roman" w:hAnsi="Times New Roman" w:cs="Times New Roman"/>
                <w:color w:val="auto"/>
                <w:szCs w:val="21"/>
              </w:rPr>
              <w:t>次</w:t>
            </w:r>
          </w:p>
        </w:tc>
        <w:tc>
          <w:tcPr>
            <w:tcW w:w="552" w:type="pct"/>
            <w:vAlign w:val="center"/>
          </w:tcPr>
          <w:p w14:paraId="33ED0E9C">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552" w:type="pct"/>
            <w:vAlign w:val="center"/>
          </w:tcPr>
          <w:p w14:paraId="7E021C99">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eastAsia="zh-CN"/>
              </w:rPr>
              <w:t>二</w:t>
            </w:r>
            <w:r>
              <w:rPr>
                <w:rFonts w:hint="default" w:ascii="Times New Roman" w:hAnsi="Times New Roman" w:cs="Times New Roman"/>
                <w:color w:val="auto"/>
                <w:szCs w:val="21"/>
              </w:rPr>
              <w:t>次</w:t>
            </w:r>
          </w:p>
        </w:tc>
        <w:tc>
          <w:tcPr>
            <w:tcW w:w="552" w:type="pct"/>
            <w:vAlign w:val="center"/>
          </w:tcPr>
          <w:p w14:paraId="7EE1E78C">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eastAsia="zh-CN"/>
              </w:rPr>
              <w:t>三</w:t>
            </w:r>
            <w:r>
              <w:rPr>
                <w:rFonts w:hint="default" w:ascii="Times New Roman" w:hAnsi="Times New Roman" w:cs="Times New Roman"/>
                <w:color w:val="auto"/>
                <w:szCs w:val="21"/>
              </w:rPr>
              <w:t>次</w:t>
            </w:r>
          </w:p>
        </w:tc>
      </w:tr>
      <w:tr w14:paraId="3F93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restart"/>
            <w:vAlign w:val="center"/>
          </w:tcPr>
          <w:p w14:paraId="344EE14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sz w:val="21"/>
                <w:szCs w:val="21"/>
                <w:highlight w:val="none"/>
                <w:lang w:val="en-US" w:eastAsia="zh-CN"/>
              </w:rPr>
              <w:t>DA001吹塑包装车间吹塑工序排气筒进口</w:t>
            </w:r>
          </w:p>
        </w:tc>
        <w:tc>
          <w:tcPr>
            <w:tcW w:w="1161" w:type="pct"/>
            <w:vAlign w:val="center"/>
          </w:tcPr>
          <w:p w14:paraId="7EAF6557">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内径（m）</w:t>
            </w:r>
          </w:p>
        </w:tc>
        <w:tc>
          <w:tcPr>
            <w:tcW w:w="1657" w:type="pct"/>
            <w:gridSpan w:val="3"/>
            <w:vAlign w:val="center"/>
          </w:tcPr>
          <w:p w14:paraId="6DB10790">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0.3</w:t>
            </w:r>
          </w:p>
        </w:tc>
        <w:tc>
          <w:tcPr>
            <w:tcW w:w="1657" w:type="pct"/>
            <w:gridSpan w:val="3"/>
            <w:shd w:val="clear" w:color="auto" w:fill="auto"/>
            <w:vAlign w:val="center"/>
          </w:tcPr>
          <w:p w14:paraId="63C9D75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0.3</w:t>
            </w:r>
          </w:p>
        </w:tc>
      </w:tr>
      <w:tr w14:paraId="3F3A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1332144F">
            <w:pPr>
              <w:spacing w:line="360" w:lineRule="auto"/>
              <w:jc w:val="center"/>
              <w:rPr>
                <w:rFonts w:hint="default" w:ascii="Times New Roman" w:hAnsi="Times New Roman" w:cs="Times New Roman"/>
                <w:color w:val="auto"/>
                <w:szCs w:val="21"/>
              </w:rPr>
            </w:pPr>
          </w:p>
        </w:tc>
        <w:tc>
          <w:tcPr>
            <w:tcW w:w="1161" w:type="pct"/>
            <w:vAlign w:val="center"/>
          </w:tcPr>
          <w:p w14:paraId="3375F7BB">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高度（m）</w:t>
            </w:r>
          </w:p>
        </w:tc>
        <w:tc>
          <w:tcPr>
            <w:tcW w:w="1657" w:type="pct"/>
            <w:gridSpan w:val="3"/>
            <w:vAlign w:val="center"/>
          </w:tcPr>
          <w:p w14:paraId="0B9171D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57" w:type="pct"/>
            <w:gridSpan w:val="3"/>
            <w:shd w:val="clear" w:color="auto" w:fill="auto"/>
            <w:vAlign w:val="center"/>
          </w:tcPr>
          <w:p w14:paraId="75B27B6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2BFC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76D8BF85">
            <w:pPr>
              <w:spacing w:line="360" w:lineRule="auto"/>
              <w:jc w:val="center"/>
              <w:rPr>
                <w:rFonts w:hint="default" w:ascii="Times New Roman" w:hAnsi="Times New Roman" w:cs="Times New Roman"/>
                <w:color w:val="auto"/>
                <w:szCs w:val="21"/>
              </w:rPr>
            </w:pPr>
          </w:p>
        </w:tc>
        <w:tc>
          <w:tcPr>
            <w:tcW w:w="1161" w:type="pct"/>
            <w:vAlign w:val="center"/>
          </w:tcPr>
          <w:p w14:paraId="084FD714">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烟气温度（℃）</w:t>
            </w:r>
          </w:p>
        </w:tc>
        <w:tc>
          <w:tcPr>
            <w:tcW w:w="552" w:type="pct"/>
            <w:vAlign w:val="center"/>
          </w:tcPr>
          <w:p w14:paraId="7474818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16.7</w:t>
            </w:r>
          </w:p>
        </w:tc>
        <w:tc>
          <w:tcPr>
            <w:tcW w:w="552" w:type="pct"/>
            <w:vAlign w:val="center"/>
          </w:tcPr>
          <w:p w14:paraId="7CCCC93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18.5</w:t>
            </w:r>
          </w:p>
        </w:tc>
        <w:tc>
          <w:tcPr>
            <w:tcW w:w="552" w:type="pct"/>
            <w:vAlign w:val="center"/>
          </w:tcPr>
          <w:p w14:paraId="547B108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19.6</w:t>
            </w:r>
          </w:p>
        </w:tc>
        <w:tc>
          <w:tcPr>
            <w:tcW w:w="552" w:type="pct"/>
            <w:vAlign w:val="center"/>
          </w:tcPr>
          <w:p w14:paraId="4AC1E57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17.6</w:t>
            </w:r>
          </w:p>
        </w:tc>
        <w:tc>
          <w:tcPr>
            <w:tcW w:w="552" w:type="pct"/>
            <w:vAlign w:val="center"/>
          </w:tcPr>
          <w:p w14:paraId="0F91E32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16.9</w:t>
            </w:r>
          </w:p>
        </w:tc>
        <w:tc>
          <w:tcPr>
            <w:tcW w:w="552" w:type="pct"/>
            <w:vAlign w:val="center"/>
          </w:tcPr>
          <w:p w14:paraId="544D73E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18.1</w:t>
            </w:r>
          </w:p>
        </w:tc>
      </w:tr>
      <w:tr w14:paraId="1BDA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1D8F4AD1">
            <w:pPr>
              <w:spacing w:line="360" w:lineRule="auto"/>
              <w:jc w:val="center"/>
              <w:rPr>
                <w:rFonts w:hint="default" w:ascii="Times New Roman" w:hAnsi="Times New Roman" w:cs="Times New Roman"/>
                <w:color w:val="auto"/>
                <w:szCs w:val="21"/>
              </w:rPr>
            </w:pPr>
          </w:p>
        </w:tc>
        <w:tc>
          <w:tcPr>
            <w:tcW w:w="1161" w:type="pct"/>
            <w:vAlign w:val="center"/>
          </w:tcPr>
          <w:p w14:paraId="352607F2">
            <w:pP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auto"/>
                <w:szCs w:val="21"/>
              </w:rPr>
              <w:t>废气量（m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52" w:type="pct"/>
            <w:vAlign w:val="center"/>
          </w:tcPr>
          <w:p w14:paraId="3869909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2767</w:t>
            </w:r>
          </w:p>
        </w:tc>
        <w:tc>
          <w:tcPr>
            <w:tcW w:w="552" w:type="pct"/>
            <w:vAlign w:val="center"/>
          </w:tcPr>
          <w:p w14:paraId="6A87844D">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2732</w:t>
            </w:r>
          </w:p>
        </w:tc>
        <w:tc>
          <w:tcPr>
            <w:tcW w:w="552" w:type="pct"/>
            <w:vAlign w:val="center"/>
          </w:tcPr>
          <w:p w14:paraId="2F4BA3D1">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2750</w:t>
            </w:r>
          </w:p>
        </w:tc>
        <w:tc>
          <w:tcPr>
            <w:tcW w:w="552" w:type="pct"/>
            <w:vAlign w:val="center"/>
          </w:tcPr>
          <w:p w14:paraId="19B9C01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2771</w:t>
            </w:r>
          </w:p>
        </w:tc>
        <w:tc>
          <w:tcPr>
            <w:tcW w:w="552" w:type="pct"/>
            <w:vAlign w:val="center"/>
          </w:tcPr>
          <w:p w14:paraId="6177ECE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2763</w:t>
            </w:r>
          </w:p>
        </w:tc>
        <w:tc>
          <w:tcPr>
            <w:tcW w:w="552" w:type="pct"/>
            <w:vAlign w:val="center"/>
          </w:tcPr>
          <w:p w14:paraId="6D9140E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2739</w:t>
            </w:r>
          </w:p>
        </w:tc>
      </w:tr>
      <w:tr w14:paraId="1A46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284AB2DF">
            <w:pPr>
              <w:spacing w:line="360" w:lineRule="auto"/>
              <w:jc w:val="center"/>
              <w:rPr>
                <w:rFonts w:hint="default" w:ascii="Times New Roman" w:hAnsi="Times New Roman" w:cs="Times New Roman"/>
                <w:color w:val="auto"/>
                <w:szCs w:val="21"/>
              </w:rPr>
            </w:pPr>
          </w:p>
        </w:tc>
        <w:tc>
          <w:tcPr>
            <w:tcW w:w="1161" w:type="pct"/>
            <w:vAlign w:val="center"/>
          </w:tcPr>
          <w:p w14:paraId="1D2F9EE1">
            <w:pPr>
              <w:spacing w:line="360" w:lineRule="auto"/>
              <w:jc w:val="both"/>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color w:val="000000" w:themeColor="text1"/>
                <w:szCs w:val="21"/>
                <w:lang w:eastAsia="zh-CN"/>
                <w14:textFill>
                  <w14:solidFill>
                    <w14:schemeClr w14:val="tx1"/>
                  </w14:solidFill>
                </w14:textFill>
              </w:rPr>
              <w:t>浓度</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c>
          <w:tcPr>
            <w:tcW w:w="552" w:type="pct"/>
            <w:vAlign w:val="center"/>
          </w:tcPr>
          <w:p w14:paraId="6E2929C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3.96</w:t>
            </w:r>
          </w:p>
        </w:tc>
        <w:tc>
          <w:tcPr>
            <w:tcW w:w="552" w:type="pct"/>
            <w:vAlign w:val="center"/>
          </w:tcPr>
          <w:p w14:paraId="4A38AF13">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4.85</w:t>
            </w:r>
          </w:p>
        </w:tc>
        <w:tc>
          <w:tcPr>
            <w:tcW w:w="552" w:type="pct"/>
            <w:vAlign w:val="center"/>
          </w:tcPr>
          <w:p w14:paraId="42319BF3">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4.12</w:t>
            </w:r>
          </w:p>
        </w:tc>
        <w:tc>
          <w:tcPr>
            <w:tcW w:w="552" w:type="pct"/>
            <w:vAlign w:val="center"/>
          </w:tcPr>
          <w:p w14:paraId="17861E86">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3.60</w:t>
            </w:r>
          </w:p>
        </w:tc>
        <w:tc>
          <w:tcPr>
            <w:tcW w:w="552" w:type="pct"/>
            <w:vAlign w:val="center"/>
          </w:tcPr>
          <w:p w14:paraId="7F64002A">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4.37</w:t>
            </w:r>
          </w:p>
        </w:tc>
        <w:tc>
          <w:tcPr>
            <w:tcW w:w="552" w:type="pct"/>
            <w:vAlign w:val="center"/>
          </w:tcPr>
          <w:p w14:paraId="1AED1FF2">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3.92</w:t>
            </w:r>
          </w:p>
        </w:tc>
      </w:tr>
      <w:tr w14:paraId="4BBE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3BE58283">
            <w:pPr>
              <w:spacing w:line="360" w:lineRule="auto"/>
              <w:jc w:val="center"/>
              <w:rPr>
                <w:rFonts w:hint="default" w:ascii="Times New Roman" w:hAnsi="Times New Roman" w:cs="Times New Roman"/>
                <w:color w:val="auto"/>
                <w:szCs w:val="21"/>
              </w:rPr>
            </w:pPr>
          </w:p>
        </w:tc>
        <w:tc>
          <w:tcPr>
            <w:tcW w:w="1161" w:type="pct"/>
            <w:vAlign w:val="center"/>
          </w:tcPr>
          <w:p w14:paraId="652F75EE">
            <w:pPr>
              <w:spacing w:line="36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bCs/>
                <w:color w:val="000000"/>
                <w:szCs w:val="21"/>
              </w:rPr>
              <w:t>排放速率</w:t>
            </w:r>
            <w:r>
              <w:rPr>
                <w:rFonts w:hint="default" w:ascii="Times New Roman" w:hAnsi="Times New Roman" w:cs="Times New Roman"/>
                <w:color w:val="000000" w:themeColor="text1"/>
                <w:szCs w:val="21"/>
                <w14:textFill>
                  <w14:solidFill>
                    <w14:schemeClr w14:val="tx1"/>
                  </w14:solidFill>
                </w14:textFill>
              </w:rPr>
              <w:t>（kg/h）</w:t>
            </w:r>
          </w:p>
        </w:tc>
        <w:tc>
          <w:tcPr>
            <w:tcW w:w="552" w:type="pct"/>
            <w:vAlign w:val="center"/>
          </w:tcPr>
          <w:p w14:paraId="777E7CE3">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1.10×10</w:t>
            </w:r>
            <w:r>
              <w:rPr>
                <w:rFonts w:hint="default" w:ascii="Times New Roman" w:hAnsi="Times New Roman" w:cs="Times New Roman"/>
                <w:color w:val="auto"/>
                <w:kern w:val="2"/>
                <w:sz w:val="21"/>
                <w:szCs w:val="21"/>
                <w:vertAlign w:val="superscript"/>
                <w:lang w:val="en-US" w:eastAsia="zh-CN" w:bidi="ar-SA"/>
              </w:rPr>
              <w:t>-2</w:t>
            </w:r>
          </w:p>
        </w:tc>
        <w:tc>
          <w:tcPr>
            <w:tcW w:w="552" w:type="pct"/>
            <w:vAlign w:val="center"/>
          </w:tcPr>
          <w:p w14:paraId="15B583A4">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1.33</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-2</w:t>
            </w:r>
          </w:p>
        </w:tc>
        <w:tc>
          <w:tcPr>
            <w:tcW w:w="552" w:type="pct"/>
            <w:vAlign w:val="center"/>
          </w:tcPr>
          <w:p w14:paraId="429A839C">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1.13</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-2</w:t>
            </w:r>
          </w:p>
        </w:tc>
        <w:tc>
          <w:tcPr>
            <w:tcW w:w="552" w:type="pct"/>
            <w:vAlign w:val="center"/>
          </w:tcPr>
          <w:p w14:paraId="0782CF74">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9.98</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2D2566B5">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1.21</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-2</w:t>
            </w:r>
          </w:p>
        </w:tc>
        <w:tc>
          <w:tcPr>
            <w:tcW w:w="552" w:type="pct"/>
            <w:vAlign w:val="center"/>
          </w:tcPr>
          <w:p w14:paraId="3F292489">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1.07</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-2</w:t>
            </w:r>
          </w:p>
        </w:tc>
      </w:tr>
      <w:tr w14:paraId="6BB5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restart"/>
            <w:vAlign w:val="center"/>
          </w:tcPr>
          <w:p w14:paraId="5068EB1F">
            <w:pPr>
              <w:jc w:val="center"/>
              <w:rPr>
                <w:rFonts w:hint="default" w:ascii="Times New Roman" w:hAnsi="Times New Roman" w:cs="Times New Roman"/>
                <w:color w:val="auto"/>
                <w:szCs w:val="21"/>
              </w:rPr>
            </w:pPr>
            <w:r>
              <w:rPr>
                <w:rFonts w:hint="default" w:ascii="Times New Roman" w:hAnsi="Times New Roman" w:eastAsia="宋体" w:cs="Times New Roman"/>
                <w:sz w:val="21"/>
                <w:szCs w:val="21"/>
                <w:highlight w:val="none"/>
                <w:lang w:val="en-US" w:eastAsia="zh-CN"/>
              </w:rPr>
              <w:t>DA001吹塑包装车间吹塑工序排气筒出口</w:t>
            </w:r>
          </w:p>
        </w:tc>
        <w:tc>
          <w:tcPr>
            <w:tcW w:w="1161" w:type="pct"/>
            <w:shd w:val="clear" w:color="auto" w:fill="auto"/>
            <w:vAlign w:val="center"/>
          </w:tcPr>
          <w:p w14:paraId="72E5F34D">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内径（m）</w:t>
            </w:r>
          </w:p>
        </w:tc>
        <w:tc>
          <w:tcPr>
            <w:tcW w:w="1657" w:type="pct"/>
            <w:gridSpan w:val="3"/>
            <w:vAlign w:val="center"/>
          </w:tcPr>
          <w:p w14:paraId="6AEE7482">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0.3</w:t>
            </w:r>
          </w:p>
        </w:tc>
        <w:tc>
          <w:tcPr>
            <w:tcW w:w="1657" w:type="pct"/>
            <w:gridSpan w:val="3"/>
            <w:shd w:val="clear" w:color="auto" w:fill="auto"/>
            <w:vAlign w:val="center"/>
          </w:tcPr>
          <w:p w14:paraId="36282AC3">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0.3</w:t>
            </w:r>
          </w:p>
        </w:tc>
      </w:tr>
      <w:tr w14:paraId="2B1E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087BBF7D">
            <w:pPr>
              <w:spacing w:line="360" w:lineRule="auto"/>
              <w:jc w:val="center"/>
              <w:rPr>
                <w:rFonts w:hint="default" w:ascii="Times New Roman" w:hAnsi="Times New Roman" w:cs="Times New Roman"/>
                <w:color w:val="auto"/>
                <w:szCs w:val="21"/>
              </w:rPr>
            </w:pPr>
          </w:p>
        </w:tc>
        <w:tc>
          <w:tcPr>
            <w:tcW w:w="1161" w:type="pct"/>
            <w:shd w:val="clear" w:color="auto" w:fill="auto"/>
            <w:vAlign w:val="center"/>
          </w:tcPr>
          <w:p w14:paraId="66D00F44">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高度（m）</w:t>
            </w:r>
          </w:p>
        </w:tc>
        <w:tc>
          <w:tcPr>
            <w:tcW w:w="1657" w:type="pct"/>
            <w:gridSpan w:val="3"/>
            <w:vAlign w:val="center"/>
          </w:tcPr>
          <w:p w14:paraId="141DDE03">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15</w:t>
            </w:r>
          </w:p>
        </w:tc>
        <w:tc>
          <w:tcPr>
            <w:tcW w:w="1657" w:type="pct"/>
            <w:gridSpan w:val="3"/>
            <w:shd w:val="clear" w:color="auto" w:fill="auto"/>
            <w:vAlign w:val="center"/>
          </w:tcPr>
          <w:p w14:paraId="11AF5C1C">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15</w:t>
            </w:r>
          </w:p>
        </w:tc>
      </w:tr>
      <w:tr w14:paraId="1D59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6076746B">
            <w:pPr>
              <w:spacing w:line="360" w:lineRule="auto"/>
              <w:jc w:val="center"/>
              <w:rPr>
                <w:rFonts w:hint="default" w:ascii="Times New Roman" w:hAnsi="Times New Roman" w:cs="Times New Roman"/>
                <w:color w:val="auto"/>
                <w:szCs w:val="21"/>
              </w:rPr>
            </w:pPr>
          </w:p>
        </w:tc>
        <w:tc>
          <w:tcPr>
            <w:tcW w:w="1161" w:type="pct"/>
            <w:shd w:val="clear" w:color="auto" w:fill="auto"/>
            <w:vAlign w:val="center"/>
          </w:tcPr>
          <w:p w14:paraId="0213FC4A">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烟气温度（℃）</w:t>
            </w:r>
          </w:p>
        </w:tc>
        <w:tc>
          <w:tcPr>
            <w:tcW w:w="552" w:type="pct"/>
            <w:vAlign w:val="center"/>
          </w:tcPr>
          <w:p w14:paraId="265A5667">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14.3</w:t>
            </w:r>
          </w:p>
        </w:tc>
        <w:tc>
          <w:tcPr>
            <w:tcW w:w="552" w:type="pct"/>
            <w:vAlign w:val="center"/>
          </w:tcPr>
          <w:p w14:paraId="22C9B3C4">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15.7</w:t>
            </w:r>
          </w:p>
        </w:tc>
        <w:tc>
          <w:tcPr>
            <w:tcW w:w="552" w:type="pct"/>
            <w:vAlign w:val="center"/>
          </w:tcPr>
          <w:p w14:paraId="0F11DA1B">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16.3</w:t>
            </w:r>
          </w:p>
        </w:tc>
        <w:tc>
          <w:tcPr>
            <w:tcW w:w="552" w:type="pct"/>
            <w:vAlign w:val="center"/>
          </w:tcPr>
          <w:p w14:paraId="625D264A">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14.5</w:t>
            </w:r>
          </w:p>
        </w:tc>
        <w:tc>
          <w:tcPr>
            <w:tcW w:w="552" w:type="pct"/>
            <w:vAlign w:val="center"/>
          </w:tcPr>
          <w:p w14:paraId="29FA6D89">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15.1</w:t>
            </w:r>
          </w:p>
        </w:tc>
        <w:tc>
          <w:tcPr>
            <w:tcW w:w="552" w:type="pct"/>
            <w:vAlign w:val="center"/>
          </w:tcPr>
          <w:p w14:paraId="239030FF">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17.4</w:t>
            </w:r>
          </w:p>
        </w:tc>
      </w:tr>
      <w:tr w14:paraId="327E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345BD74C">
            <w:pPr>
              <w:spacing w:line="360" w:lineRule="auto"/>
              <w:jc w:val="center"/>
              <w:rPr>
                <w:rFonts w:hint="default" w:ascii="Times New Roman" w:hAnsi="Times New Roman" w:cs="Times New Roman"/>
                <w:color w:val="auto"/>
                <w:szCs w:val="21"/>
              </w:rPr>
            </w:pPr>
          </w:p>
        </w:tc>
        <w:tc>
          <w:tcPr>
            <w:tcW w:w="1161" w:type="pct"/>
            <w:vAlign w:val="center"/>
          </w:tcPr>
          <w:p w14:paraId="14CBA8A1">
            <w:pP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auto"/>
                <w:szCs w:val="21"/>
              </w:rPr>
              <w:t>废气量（m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52" w:type="pct"/>
            <w:vAlign w:val="center"/>
          </w:tcPr>
          <w:p w14:paraId="663BC86A">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2916</w:t>
            </w:r>
          </w:p>
        </w:tc>
        <w:tc>
          <w:tcPr>
            <w:tcW w:w="552" w:type="pct"/>
            <w:vAlign w:val="center"/>
          </w:tcPr>
          <w:p w14:paraId="5C4674BC">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2904</w:t>
            </w:r>
          </w:p>
        </w:tc>
        <w:tc>
          <w:tcPr>
            <w:tcW w:w="552" w:type="pct"/>
            <w:vAlign w:val="center"/>
          </w:tcPr>
          <w:p w14:paraId="37256B53">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2891</w:t>
            </w:r>
          </w:p>
        </w:tc>
        <w:tc>
          <w:tcPr>
            <w:tcW w:w="552" w:type="pct"/>
            <w:vAlign w:val="center"/>
          </w:tcPr>
          <w:p w14:paraId="77282ECD">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2889</w:t>
            </w:r>
          </w:p>
        </w:tc>
        <w:tc>
          <w:tcPr>
            <w:tcW w:w="552" w:type="pct"/>
            <w:vAlign w:val="center"/>
          </w:tcPr>
          <w:p w14:paraId="4830E591">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2926</w:t>
            </w:r>
          </w:p>
        </w:tc>
        <w:tc>
          <w:tcPr>
            <w:tcW w:w="552" w:type="pct"/>
            <w:vAlign w:val="center"/>
          </w:tcPr>
          <w:p w14:paraId="1C0B6D03">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2902</w:t>
            </w:r>
          </w:p>
        </w:tc>
      </w:tr>
      <w:tr w14:paraId="283E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6510766B">
            <w:pPr>
              <w:spacing w:line="360" w:lineRule="auto"/>
              <w:jc w:val="center"/>
              <w:rPr>
                <w:rFonts w:hint="default" w:ascii="Times New Roman" w:hAnsi="Times New Roman" w:cs="Times New Roman"/>
                <w:color w:val="auto"/>
                <w:szCs w:val="21"/>
              </w:rPr>
            </w:pPr>
          </w:p>
        </w:tc>
        <w:tc>
          <w:tcPr>
            <w:tcW w:w="1161" w:type="pct"/>
            <w:vAlign w:val="center"/>
          </w:tcPr>
          <w:p w14:paraId="098F6CD7">
            <w:pPr>
              <w:spacing w:line="360" w:lineRule="auto"/>
              <w:jc w:val="both"/>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color w:val="000000" w:themeColor="text1"/>
                <w:szCs w:val="21"/>
                <w:lang w:eastAsia="zh-CN"/>
                <w14:textFill>
                  <w14:solidFill>
                    <w14:schemeClr w14:val="tx1"/>
                  </w14:solidFill>
                </w14:textFill>
              </w:rPr>
              <w:t>浓度</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c>
          <w:tcPr>
            <w:tcW w:w="552" w:type="pct"/>
            <w:vAlign w:val="center"/>
          </w:tcPr>
          <w:p w14:paraId="2409BE2E">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0.792</w:t>
            </w:r>
          </w:p>
        </w:tc>
        <w:tc>
          <w:tcPr>
            <w:tcW w:w="552" w:type="pct"/>
            <w:vAlign w:val="center"/>
          </w:tcPr>
          <w:p w14:paraId="7D542A4B">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0.965</w:t>
            </w:r>
          </w:p>
        </w:tc>
        <w:tc>
          <w:tcPr>
            <w:tcW w:w="552" w:type="pct"/>
            <w:vAlign w:val="center"/>
          </w:tcPr>
          <w:p w14:paraId="24D37C68">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0.838</w:t>
            </w:r>
          </w:p>
        </w:tc>
        <w:tc>
          <w:tcPr>
            <w:tcW w:w="552" w:type="pct"/>
            <w:vAlign w:val="center"/>
          </w:tcPr>
          <w:p w14:paraId="2497A949">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0.735</w:t>
            </w:r>
          </w:p>
        </w:tc>
        <w:tc>
          <w:tcPr>
            <w:tcW w:w="552" w:type="pct"/>
            <w:vAlign w:val="center"/>
          </w:tcPr>
          <w:p w14:paraId="21852E04">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0.878</w:t>
            </w:r>
          </w:p>
        </w:tc>
        <w:tc>
          <w:tcPr>
            <w:tcW w:w="552" w:type="pct"/>
            <w:vAlign w:val="center"/>
          </w:tcPr>
          <w:p w14:paraId="062272D6">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0.794</w:t>
            </w:r>
          </w:p>
        </w:tc>
      </w:tr>
      <w:tr w14:paraId="665E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2" w:type="pct"/>
            <w:vMerge w:val="continue"/>
            <w:vAlign w:val="center"/>
          </w:tcPr>
          <w:p w14:paraId="79CC2197">
            <w:pPr>
              <w:spacing w:line="360" w:lineRule="auto"/>
              <w:jc w:val="center"/>
              <w:rPr>
                <w:rFonts w:hint="default" w:ascii="Times New Roman" w:hAnsi="Times New Roman" w:cs="Times New Roman"/>
                <w:color w:val="auto"/>
                <w:szCs w:val="21"/>
              </w:rPr>
            </w:pPr>
          </w:p>
        </w:tc>
        <w:tc>
          <w:tcPr>
            <w:tcW w:w="1161" w:type="pct"/>
            <w:vAlign w:val="center"/>
          </w:tcPr>
          <w:p w14:paraId="40DD42D3">
            <w:pPr>
              <w:spacing w:line="36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bCs/>
                <w:color w:val="000000"/>
                <w:szCs w:val="21"/>
              </w:rPr>
              <w:t>排放速率</w:t>
            </w:r>
            <w:r>
              <w:rPr>
                <w:rFonts w:hint="default" w:ascii="Times New Roman" w:hAnsi="Times New Roman" w:cs="Times New Roman"/>
                <w:color w:val="000000" w:themeColor="text1"/>
                <w:szCs w:val="21"/>
                <w14:textFill>
                  <w14:solidFill>
                    <w14:schemeClr w14:val="tx1"/>
                  </w14:solidFill>
                </w14:textFill>
              </w:rPr>
              <w:t>（kg/h）</w:t>
            </w:r>
          </w:p>
        </w:tc>
        <w:tc>
          <w:tcPr>
            <w:tcW w:w="552" w:type="pct"/>
            <w:vAlign w:val="center"/>
          </w:tcPr>
          <w:p w14:paraId="7E502E6A">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2.31×10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49AF6A16">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2.80</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0DF62552">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2.42</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69388BB2">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2.12</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0D59143C">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2.57</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15B7B2C4">
            <w:pPr>
              <w:spacing w:line="360" w:lineRule="auto"/>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2.30</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p>
        </w:tc>
      </w:tr>
    </w:tbl>
    <w:p w14:paraId="19BEE4DB">
      <w:pPr>
        <w:pStyle w:val="3"/>
        <w:spacing w:after="0" w:line="240" w:lineRule="auto"/>
        <w:ind w:left="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表9-</w:t>
      </w:r>
      <w:r>
        <w:rPr>
          <w:rFonts w:hint="eastAsia" w:cs="Times New Roman"/>
          <w:b/>
          <w:bCs w:val="0"/>
          <w:color w:val="000000" w:themeColor="text1"/>
          <w:sz w:val="21"/>
          <w:szCs w:val="21"/>
          <w:lang w:val="en-US" w:eastAsia="zh-CN"/>
          <w14:textFill>
            <w14:solidFill>
              <w14:schemeClr w14:val="tx1"/>
            </w14:solidFill>
          </w14:textFill>
        </w:rPr>
        <w:t>3（2）</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有组织废气监测结果汇总</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045"/>
        <w:gridCol w:w="1026"/>
        <w:gridCol w:w="1026"/>
        <w:gridCol w:w="1027"/>
        <w:gridCol w:w="1026"/>
        <w:gridCol w:w="1026"/>
        <w:gridCol w:w="1027"/>
      </w:tblGrid>
      <w:tr w14:paraId="48A7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3" w:type="pct"/>
            <w:gridSpan w:val="2"/>
            <w:vMerge w:val="restart"/>
            <w:vAlign w:val="center"/>
          </w:tcPr>
          <w:p w14:paraId="64335FE0">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92032" behindDoc="0" locked="0" layoutInCell="1" allowOverlap="1">
                      <wp:simplePos x="0" y="0"/>
                      <wp:positionH relativeFrom="column">
                        <wp:posOffset>915035</wp:posOffset>
                      </wp:positionH>
                      <wp:positionV relativeFrom="paragraph">
                        <wp:posOffset>1905</wp:posOffset>
                      </wp:positionV>
                      <wp:extent cx="1189990" cy="46609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189990" cy="466090"/>
                              </a:xfrm>
                              <a:prstGeom prst="rect">
                                <a:avLst/>
                              </a:prstGeom>
                              <a:noFill/>
                              <a:ln>
                                <a:noFill/>
                              </a:ln>
                              <a:effectLst/>
                            </wps:spPr>
                            <wps:txbx>
                              <w:txbxContent>
                                <w:p w14:paraId="5F7AEDE8">
                                  <w:r>
                                    <w:rPr>
                                      <w:rFonts w:hint="eastAsia"/>
                                    </w:rPr>
                                    <w:t>采样日期及频次</w:t>
                                  </w:r>
                                </w:p>
                              </w:txbxContent>
                            </wps:txbx>
                            <wps:bodyPr upright="1"/>
                          </wps:wsp>
                        </a:graphicData>
                      </a:graphic>
                    </wp:anchor>
                  </w:drawing>
                </mc:Choice>
                <mc:Fallback>
                  <w:pict>
                    <v:shape id="_x0000_s1026" o:spid="_x0000_s1026" o:spt="202" type="#_x0000_t202" style="position:absolute;left:0pt;margin-left:72.05pt;margin-top:0.15pt;height:36.7pt;width:93.7pt;z-index:251692032;mso-width-relative:page;mso-height-relative:page;" filled="f" stroked="f" coordsize="21600,21600" o:gfxdata="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YoRDXU&#10;AAAABwEAAA8AAAAAAAAAAQAgAAAAIgAAAGRycy9kb3ducmV2LnhtbFBLAQIUABQAAAAIAIdO4kDs&#10;dE8rsgEAAGADAAAOAAAAAAAAAAEAIAAAACMBAABkcnMvZTJvRG9jLnhtbFBLBQYAAAAABgAGAFkB&#10;AABHBQAAAAA=&#10;">
                      <v:fill on="f" focussize="0,0"/>
                      <v:stroke on="f"/>
                      <v:imagedata o:title=""/>
                      <o:lock v:ext="edit" aspectratio="f"/>
                      <v:textbox>
                        <w:txbxContent>
                          <w:p w14:paraId="5F7AEDE8">
                            <w:r>
                              <w:rPr>
                                <w:rFonts w:hint="eastAsia"/>
                              </w:rPr>
                              <w:t>采样日期及频次</w:t>
                            </w:r>
                          </w:p>
                        </w:txbxContent>
                      </v:textbox>
                    </v:shape>
                  </w:pict>
                </mc:Fallback>
              </mc:AlternateContent>
            </w:r>
            <w:r>
              <w:rPr>
                <w:rFonts w:hint="default" w:ascii="Times New Roman" w:hAnsi="Times New Roman"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-149225</wp:posOffset>
                      </wp:positionH>
                      <wp:positionV relativeFrom="paragraph">
                        <wp:posOffset>156845</wp:posOffset>
                      </wp:positionV>
                      <wp:extent cx="523240" cy="51117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523240" cy="511175"/>
                              </a:xfrm>
                              <a:prstGeom prst="rect">
                                <a:avLst/>
                              </a:prstGeom>
                              <a:noFill/>
                              <a:ln>
                                <a:noFill/>
                              </a:ln>
                              <a:effectLst/>
                            </wps:spPr>
                            <wps:txbx>
                              <w:txbxContent>
                                <w:p w14:paraId="7F3176B7">
                                  <w:pPr>
                                    <w:jc w:val="left"/>
                                  </w:pPr>
                                  <w:r>
                                    <w:rPr>
                                      <w:rFonts w:hint="eastAsia"/>
                                    </w:rPr>
                                    <w:t>采样点位</w:t>
                                  </w:r>
                                </w:p>
                              </w:txbxContent>
                            </wps:txbx>
                            <wps:bodyPr upright="1"/>
                          </wps:wsp>
                        </a:graphicData>
                      </a:graphic>
                    </wp:anchor>
                  </w:drawing>
                </mc:Choice>
                <mc:Fallback>
                  <w:pict>
                    <v:shape id="_x0000_s1026" o:spid="_x0000_s1026" o:spt="202" type="#_x0000_t202" style="position:absolute;left:0pt;margin-left:-11.75pt;margin-top:12.35pt;height:40.25pt;width:41.2pt;z-index:251696128;mso-width-relative:page;mso-height-relative:page;" filled="f" stroked="f" coordsize="21600,21600" o:gfxdata="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t&#10;hgvXAAAACQEAAA8AAAAAAAAAAQAgAAAAIgAAAGRycy9kb3ducmV2LnhtbFBLAQIUABQAAAAIAIdO&#10;4kD2G8hmsgEAAF8DAAAOAAAAAAAAAAEAIAAAACYBAABkcnMvZTJvRG9jLnhtbFBLBQYAAAAABgAG&#10;AFkBAABKBQAAAAA=&#10;">
                      <v:fill on="f" focussize="0,0"/>
                      <v:stroke on="f"/>
                      <v:imagedata o:title=""/>
                      <o:lock v:ext="edit" aspectratio="f"/>
                      <v:textbox>
                        <w:txbxContent>
                          <w:p w14:paraId="7F3176B7">
                            <w:pPr>
                              <w:jc w:val="left"/>
                            </w:pPr>
                            <w:r>
                              <w:rPr>
                                <w:rFonts w:hint="eastAsia"/>
                              </w:rPr>
                              <w:t>采样点位</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3056" behindDoc="0" locked="0" layoutInCell="1" allowOverlap="1">
                      <wp:simplePos x="0" y="0"/>
                      <wp:positionH relativeFrom="column">
                        <wp:posOffset>617855</wp:posOffset>
                      </wp:positionH>
                      <wp:positionV relativeFrom="paragraph">
                        <wp:posOffset>307340</wp:posOffset>
                      </wp:positionV>
                      <wp:extent cx="734060" cy="2667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734060" cy="266700"/>
                              </a:xfrm>
                              <a:prstGeom prst="rect">
                                <a:avLst/>
                              </a:prstGeom>
                              <a:noFill/>
                              <a:ln>
                                <a:noFill/>
                              </a:ln>
                              <a:effectLst/>
                            </wps:spPr>
                            <wps:txbx>
                              <w:txbxContent>
                                <w:p w14:paraId="4EEEE0B0">
                                  <w:r>
                                    <w:rPr>
                                      <w:rFonts w:hint="eastAsia"/>
                                    </w:rPr>
                                    <w:t>检测项目</w:t>
                                  </w:r>
                                </w:p>
                              </w:txbxContent>
                            </wps:txbx>
                            <wps:bodyPr upright="1"/>
                          </wps:wsp>
                        </a:graphicData>
                      </a:graphic>
                    </wp:anchor>
                  </w:drawing>
                </mc:Choice>
                <mc:Fallback>
                  <w:pict>
                    <v:shape id="_x0000_s1026" o:spid="_x0000_s1026" o:spt="202" type="#_x0000_t202" style="position:absolute;left:0pt;margin-left:48.65pt;margin-top:24.2pt;height:21pt;width:57.8pt;z-index:251693056;mso-width-relative:page;mso-height-relative:page;" filled="f" stroked="f" coordsize="21600,21600" o:gfxdata="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C&#10;jGTWAAAACAEAAA8AAAAAAAAAAQAgAAAAIgAAAGRycy9kb3ducmV2LnhtbFBLAQIUABQAAAAIAIdO&#10;4kAfd29YswEAAF8DAAAOAAAAAAAAAAEAIAAAACUBAABkcnMvZTJvRG9jLnhtbFBLBQYAAAAABgAG&#10;AFkBAABKBQAAAAA=&#10;">
                      <v:fill on="f" focussize="0,0"/>
                      <v:stroke on="f"/>
                      <v:imagedata o:title=""/>
                      <o:lock v:ext="edit" aspectratio="f"/>
                      <v:textbox>
                        <w:txbxContent>
                          <w:p w14:paraId="4EEEE0B0">
                            <w:r>
                              <w:rPr>
                                <w:rFonts w:hint="eastAsia"/>
                              </w:rPr>
                              <w:t>检测项目</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5104" behindDoc="0" locked="0" layoutInCell="1" allowOverlap="1">
                      <wp:simplePos x="0" y="0"/>
                      <wp:positionH relativeFrom="column">
                        <wp:posOffset>-69850</wp:posOffset>
                      </wp:positionH>
                      <wp:positionV relativeFrom="paragraph">
                        <wp:posOffset>-1905</wp:posOffset>
                      </wp:positionV>
                      <wp:extent cx="2181860" cy="586105"/>
                      <wp:effectExtent l="1270" t="4445" r="7620" b="19050"/>
                      <wp:wrapNone/>
                      <wp:docPr id="173" name="直接箭头连接符 173"/>
                      <wp:cNvGraphicFramePr/>
                      <a:graphic xmlns:a="http://schemas.openxmlformats.org/drawingml/2006/main">
                        <a:graphicData uri="http://schemas.microsoft.com/office/word/2010/wordprocessingShape">
                          <wps:wsp>
                            <wps:cNvCnPr/>
                            <wps:spPr>
                              <a:xfrm>
                                <a:off x="0" y="0"/>
                                <a:ext cx="2181860" cy="58610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5.5pt;margin-top:-0.15pt;height:46.15pt;width:171.8pt;z-index:251695104;mso-width-relative:page;mso-height-relative:page;" filled="f" stroked="t" coordsize="21600,21600" o:gfxdata="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Fd9L1wAAAAgBAAAPAAAAAAAAAAEAIAAAACIAAABk&#10;cnMvZG93bnJldi54bWxQSwECFAAUAAAACACHTuJAWvhaMwcCAAD/Aw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4080" behindDoc="0" locked="0" layoutInCell="1" allowOverlap="1">
                      <wp:simplePos x="0" y="0"/>
                      <wp:positionH relativeFrom="column">
                        <wp:posOffset>-58420</wp:posOffset>
                      </wp:positionH>
                      <wp:positionV relativeFrom="paragraph">
                        <wp:posOffset>21590</wp:posOffset>
                      </wp:positionV>
                      <wp:extent cx="751205" cy="581660"/>
                      <wp:effectExtent l="3175" t="3810" r="7620" b="5080"/>
                      <wp:wrapNone/>
                      <wp:docPr id="175" name="直接箭头连接符 175"/>
                      <wp:cNvGraphicFramePr/>
                      <a:graphic xmlns:a="http://schemas.openxmlformats.org/drawingml/2006/main">
                        <a:graphicData uri="http://schemas.microsoft.com/office/word/2010/wordprocessingShape">
                          <wps:wsp>
                            <wps:cNvCnPr/>
                            <wps:spPr>
                              <a:xfrm>
                                <a:off x="0" y="0"/>
                                <a:ext cx="751205" cy="58166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4.6pt;margin-top:1.7pt;height:45.8pt;width:59.15pt;z-index:251694080;mso-width-relative:page;mso-height-relative:page;" filled="f" stroked="t" coordsize="21600,21600" o:gfxdata="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psOe1QAAAAcBAAAPAAAAAAAAAAEAIAAAACIAAABk&#10;cnMvZG93bnJldi54bWxQSwECFAAUAAAACACHTuJAb8TgVwkCAAD+AwAADgAAAAAAAAABACAAAAAk&#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sz w:val="21"/>
                <w:szCs w:val="21"/>
              </w:rPr>
              <w:t xml:space="preserve">    </w:t>
            </w:r>
          </w:p>
        </w:tc>
        <w:tc>
          <w:tcPr>
            <w:tcW w:w="1658" w:type="pct"/>
            <w:gridSpan w:val="3"/>
            <w:vAlign w:val="center"/>
          </w:tcPr>
          <w:p w14:paraId="11F9533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2024.11.25</w:t>
            </w:r>
          </w:p>
        </w:tc>
        <w:tc>
          <w:tcPr>
            <w:tcW w:w="1658" w:type="pct"/>
            <w:gridSpan w:val="3"/>
            <w:vAlign w:val="center"/>
          </w:tcPr>
          <w:p w14:paraId="56D9968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2024.11.26</w:t>
            </w:r>
          </w:p>
        </w:tc>
      </w:tr>
      <w:tr w14:paraId="1AAC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3" w:type="pct"/>
            <w:gridSpan w:val="2"/>
            <w:vMerge w:val="continue"/>
            <w:vAlign w:val="center"/>
          </w:tcPr>
          <w:p w14:paraId="7EB9D8AE">
            <w:pPr>
              <w:jc w:val="center"/>
              <w:rPr>
                <w:rFonts w:hint="default" w:ascii="Times New Roman" w:hAnsi="Times New Roman" w:cs="Times New Roman"/>
                <w:sz w:val="21"/>
                <w:szCs w:val="21"/>
              </w:rPr>
            </w:pPr>
          </w:p>
        </w:tc>
        <w:tc>
          <w:tcPr>
            <w:tcW w:w="552" w:type="pct"/>
            <w:vAlign w:val="center"/>
          </w:tcPr>
          <w:p w14:paraId="77FB365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第一次</w:t>
            </w:r>
          </w:p>
        </w:tc>
        <w:tc>
          <w:tcPr>
            <w:tcW w:w="552" w:type="pct"/>
            <w:vAlign w:val="center"/>
          </w:tcPr>
          <w:p w14:paraId="733F717D">
            <w:pPr>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552" w:type="pct"/>
            <w:vAlign w:val="center"/>
          </w:tcPr>
          <w:p w14:paraId="21433272">
            <w:pPr>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552" w:type="pct"/>
            <w:shd w:val="clear" w:color="auto" w:fill="auto"/>
            <w:vAlign w:val="center"/>
          </w:tcPr>
          <w:p w14:paraId="1536E0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第一次</w:t>
            </w:r>
          </w:p>
        </w:tc>
        <w:tc>
          <w:tcPr>
            <w:tcW w:w="552" w:type="pct"/>
            <w:shd w:val="clear" w:color="auto" w:fill="auto"/>
            <w:vAlign w:val="center"/>
          </w:tcPr>
          <w:p w14:paraId="02DF9D8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552" w:type="pct"/>
            <w:shd w:val="clear" w:color="auto" w:fill="auto"/>
            <w:vAlign w:val="center"/>
          </w:tcPr>
          <w:p w14:paraId="5FB716C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r>
      <w:tr w14:paraId="22C2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restart"/>
            <w:vAlign w:val="center"/>
          </w:tcPr>
          <w:p w14:paraId="774CECF8">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DA002醋酸生产车间过滤、精馏、分装、储存工序排气筒</w:t>
            </w:r>
          </w:p>
          <w:p w14:paraId="4B81B3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进口</w:t>
            </w:r>
          </w:p>
        </w:tc>
        <w:tc>
          <w:tcPr>
            <w:tcW w:w="1102" w:type="pct"/>
            <w:shd w:val="clear" w:color="auto" w:fill="auto"/>
            <w:vAlign w:val="center"/>
          </w:tcPr>
          <w:p w14:paraId="33A209F1">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内径（m）</w:t>
            </w:r>
          </w:p>
        </w:tc>
        <w:tc>
          <w:tcPr>
            <w:tcW w:w="1658" w:type="pct"/>
            <w:gridSpan w:val="3"/>
            <w:vAlign w:val="center"/>
          </w:tcPr>
          <w:p w14:paraId="4EAB40CD">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w:t>
            </w:r>
          </w:p>
        </w:tc>
        <w:tc>
          <w:tcPr>
            <w:tcW w:w="1658" w:type="pct"/>
            <w:gridSpan w:val="3"/>
            <w:shd w:val="clear" w:color="auto" w:fill="auto"/>
            <w:vAlign w:val="center"/>
          </w:tcPr>
          <w:p w14:paraId="78EB5F7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w:t>
            </w:r>
          </w:p>
        </w:tc>
      </w:tr>
      <w:tr w14:paraId="442B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56B2D7C1">
            <w:pPr>
              <w:spacing w:line="240" w:lineRule="auto"/>
              <w:jc w:val="center"/>
              <w:rPr>
                <w:rFonts w:hint="default" w:ascii="Times New Roman" w:hAnsi="Times New Roman" w:cs="Times New Roman"/>
                <w:color w:val="auto"/>
                <w:sz w:val="21"/>
                <w:szCs w:val="21"/>
              </w:rPr>
            </w:pPr>
          </w:p>
        </w:tc>
        <w:tc>
          <w:tcPr>
            <w:tcW w:w="1102" w:type="pct"/>
            <w:shd w:val="clear" w:color="auto" w:fill="auto"/>
            <w:vAlign w:val="center"/>
          </w:tcPr>
          <w:p w14:paraId="7339C561">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高度（m）</w:t>
            </w:r>
          </w:p>
        </w:tc>
        <w:tc>
          <w:tcPr>
            <w:tcW w:w="1658" w:type="pct"/>
            <w:gridSpan w:val="3"/>
            <w:vAlign w:val="center"/>
          </w:tcPr>
          <w:p w14:paraId="09FFE37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58" w:type="pct"/>
            <w:gridSpan w:val="3"/>
            <w:shd w:val="clear" w:color="auto" w:fill="auto"/>
            <w:vAlign w:val="center"/>
          </w:tcPr>
          <w:p w14:paraId="1C59EE9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01E7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6AEFCB6C">
            <w:pPr>
              <w:spacing w:line="240" w:lineRule="auto"/>
              <w:jc w:val="center"/>
              <w:rPr>
                <w:rFonts w:hint="default" w:ascii="Times New Roman" w:hAnsi="Times New Roman" w:cs="Times New Roman"/>
                <w:color w:val="auto"/>
                <w:sz w:val="21"/>
                <w:szCs w:val="21"/>
              </w:rPr>
            </w:pPr>
          </w:p>
        </w:tc>
        <w:tc>
          <w:tcPr>
            <w:tcW w:w="1102" w:type="pct"/>
            <w:shd w:val="clear" w:color="auto" w:fill="auto"/>
            <w:vAlign w:val="center"/>
          </w:tcPr>
          <w:p w14:paraId="101B96B3">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烟气温度（℃）</w:t>
            </w:r>
          </w:p>
        </w:tc>
        <w:tc>
          <w:tcPr>
            <w:tcW w:w="552" w:type="pct"/>
            <w:vAlign w:val="center"/>
          </w:tcPr>
          <w:p w14:paraId="1715C156">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16.9</w:t>
            </w:r>
          </w:p>
        </w:tc>
        <w:tc>
          <w:tcPr>
            <w:tcW w:w="552" w:type="pct"/>
            <w:vAlign w:val="center"/>
          </w:tcPr>
          <w:p w14:paraId="76DA09C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15.7</w:t>
            </w:r>
          </w:p>
        </w:tc>
        <w:tc>
          <w:tcPr>
            <w:tcW w:w="552" w:type="pct"/>
            <w:vAlign w:val="center"/>
          </w:tcPr>
          <w:p w14:paraId="7CA0AAB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14.2</w:t>
            </w:r>
          </w:p>
        </w:tc>
        <w:tc>
          <w:tcPr>
            <w:tcW w:w="552" w:type="pct"/>
            <w:vAlign w:val="center"/>
          </w:tcPr>
          <w:p w14:paraId="5167DA1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9.9</w:t>
            </w:r>
          </w:p>
        </w:tc>
        <w:tc>
          <w:tcPr>
            <w:tcW w:w="552" w:type="pct"/>
            <w:vAlign w:val="center"/>
          </w:tcPr>
          <w:p w14:paraId="53A2C676">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11.2</w:t>
            </w:r>
          </w:p>
        </w:tc>
        <w:tc>
          <w:tcPr>
            <w:tcW w:w="552" w:type="pct"/>
            <w:vAlign w:val="center"/>
          </w:tcPr>
          <w:p w14:paraId="468E5880">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13.9</w:t>
            </w:r>
          </w:p>
        </w:tc>
      </w:tr>
      <w:tr w14:paraId="639A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57DA3387">
            <w:pPr>
              <w:spacing w:line="240" w:lineRule="auto"/>
              <w:jc w:val="center"/>
              <w:rPr>
                <w:rFonts w:hint="default" w:ascii="Times New Roman" w:hAnsi="Times New Roman" w:cs="Times New Roman"/>
                <w:color w:val="auto"/>
                <w:sz w:val="21"/>
                <w:szCs w:val="21"/>
              </w:rPr>
            </w:pPr>
          </w:p>
        </w:tc>
        <w:tc>
          <w:tcPr>
            <w:tcW w:w="1102" w:type="pct"/>
            <w:vAlign w:val="center"/>
          </w:tcPr>
          <w:p w14:paraId="1F100AB5">
            <w:pP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auto"/>
                <w:sz w:val="21"/>
                <w:szCs w:val="21"/>
              </w:rPr>
              <w:t>废气量（m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552" w:type="pct"/>
            <w:vAlign w:val="center"/>
          </w:tcPr>
          <w:p w14:paraId="5BE3B2FA">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794</w:t>
            </w:r>
          </w:p>
        </w:tc>
        <w:tc>
          <w:tcPr>
            <w:tcW w:w="552" w:type="pct"/>
            <w:vAlign w:val="center"/>
          </w:tcPr>
          <w:p w14:paraId="620B5088">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810</w:t>
            </w:r>
          </w:p>
        </w:tc>
        <w:tc>
          <w:tcPr>
            <w:tcW w:w="552" w:type="pct"/>
            <w:vAlign w:val="center"/>
          </w:tcPr>
          <w:p w14:paraId="3327FE33">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816</w:t>
            </w:r>
          </w:p>
        </w:tc>
        <w:tc>
          <w:tcPr>
            <w:tcW w:w="552" w:type="pct"/>
            <w:vAlign w:val="center"/>
          </w:tcPr>
          <w:p w14:paraId="0D4B86F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828</w:t>
            </w:r>
          </w:p>
        </w:tc>
        <w:tc>
          <w:tcPr>
            <w:tcW w:w="552" w:type="pct"/>
            <w:vAlign w:val="center"/>
          </w:tcPr>
          <w:p w14:paraId="045234B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823</w:t>
            </w:r>
          </w:p>
        </w:tc>
        <w:tc>
          <w:tcPr>
            <w:tcW w:w="552" w:type="pct"/>
            <w:vAlign w:val="center"/>
          </w:tcPr>
          <w:p w14:paraId="3B7C7EF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820</w:t>
            </w:r>
          </w:p>
        </w:tc>
      </w:tr>
      <w:tr w14:paraId="63AA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23BE2D51">
            <w:pPr>
              <w:spacing w:line="240" w:lineRule="auto"/>
              <w:jc w:val="center"/>
              <w:rPr>
                <w:rFonts w:hint="default" w:ascii="Times New Roman" w:hAnsi="Times New Roman" w:cs="Times New Roman"/>
                <w:color w:val="auto"/>
                <w:sz w:val="21"/>
                <w:szCs w:val="21"/>
              </w:rPr>
            </w:pPr>
          </w:p>
        </w:tc>
        <w:tc>
          <w:tcPr>
            <w:tcW w:w="1102" w:type="pct"/>
            <w:vAlign w:val="center"/>
          </w:tcPr>
          <w:p w14:paraId="681B9BE2">
            <w:pPr>
              <w:spacing w:line="360" w:lineRule="auto"/>
              <w:jc w:val="both"/>
              <w:rPr>
                <w:rFonts w:hint="default" w:ascii="Times New Roman" w:hAnsi="Times New Roman" w:cs="Times New Roman"/>
                <w:sz w:val="21"/>
                <w:szCs w:val="21"/>
                <w:lang w:eastAsia="zh-CN"/>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color w:val="000000" w:themeColor="text1"/>
                <w:sz w:val="21"/>
                <w:szCs w:val="21"/>
                <w:lang w:eastAsia="zh-CN"/>
                <w14:textFill>
                  <w14:solidFill>
                    <w14:schemeClr w14:val="tx1"/>
                  </w14:solidFill>
                </w14:textFill>
              </w:rPr>
              <w:t>浓度</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552" w:type="pct"/>
            <w:vAlign w:val="center"/>
          </w:tcPr>
          <w:p w14:paraId="55D056A0">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3.58</w:t>
            </w:r>
          </w:p>
        </w:tc>
        <w:tc>
          <w:tcPr>
            <w:tcW w:w="552" w:type="pct"/>
            <w:vAlign w:val="center"/>
          </w:tcPr>
          <w:p w14:paraId="0900CA56">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4.25</w:t>
            </w:r>
          </w:p>
        </w:tc>
        <w:tc>
          <w:tcPr>
            <w:tcW w:w="552" w:type="pct"/>
            <w:vAlign w:val="center"/>
          </w:tcPr>
          <w:p w14:paraId="0335B1B8">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4.13</w:t>
            </w:r>
          </w:p>
        </w:tc>
        <w:tc>
          <w:tcPr>
            <w:tcW w:w="552" w:type="pct"/>
            <w:vAlign w:val="center"/>
          </w:tcPr>
          <w:p w14:paraId="0ECEACF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3.43</w:t>
            </w:r>
          </w:p>
        </w:tc>
        <w:tc>
          <w:tcPr>
            <w:tcW w:w="552" w:type="pct"/>
            <w:vAlign w:val="center"/>
          </w:tcPr>
          <w:p w14:paraId="4B59695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4.26</w:t>
            </w:r>
          </w:p>
        </w:tc>
        <w:tc>
          <w:tcPr>
            <w:tcW w:w="552" w:type="pct"/>
            <w:vAlign w:val="center"/>
          </w:tcPr>
          <w:p w14:paraId="37F64973">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3.72</w:t>
            </w:r>
          </w:p>
        </w:tc>
      </w:tr>
      <w:tr w14:paraId="63EE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543A63B3">
            <w:pPr>
              <w:spacing w:line="240" w:lineRule="auto"/>
              <w:jc w:val="center"/>
              <w:rPr>
                <w:rFonts w:hint="default" w:ascii="Times New Roman" w:hAnsi="Times New Roman" w:cs="Times New Roman"/>
                <w:color w:val="auto"/>
                <w:sz w:val="21"/>
                <w:szCs w:val="21"/>
              </w:rPr>
            </w:pPr>
          </w:p>
        </w:tc>
        <w:tc>
          <w:tcPr>
            <w:tcW w:w="1102" w:type="pct"/>
            <w:vAlign w:val="center"/>
          </w:tcPr>
          <w:p w14:paraId="7BA0DE14">
            <w:pPr>
              <w:spacing w:line="36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bCs/>
                <w:color w:val="000000"/>
                <w:sz w:val="21"/>
                <w:szCs w:val="21"/>
              </w:rPr>
              <w:t>排放速率</w:t>
            </w:r>
            <w:r>
              <w:rPr>
                <w:rFonts w:hint="default" w:ascii="Times New Roman" w:hAnsi="Times New Roman" w:cs="Times New Roman"/>
                <w:color w:val="000000" w:themeColor="text1"/>
                <w:sz w:val="21"/>
                <w:szCs w:val="21"/>
                <w14:textFill>
                  <w14:solidFill>
                    <w14:schemeClr w14:val="tx1"/>
                  </w14:solidFill>
                </w14:textFill>
              </w:rPr>
              <w:t>（kg/h）</w:t>
            </w:r>
          </w:p>
        </w:tc>
        <w:tc>
          <w:tcPr>
            <w:tcW w:w="552" w:type="pct"/>
            <w:vAlign w:val="center"/>
          </w:tcPr>
          <w:p w14:paraId="77C99AC8">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2.84×10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22277F6E">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3.44×10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394D341E">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3.37×10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3E4EE6D4">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2.84×10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137DE781">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3.51×10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75DC2B7D">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3.05×10</w:t>
            </w:r>
            <w:r>
              <w:rPr>
                <w:rFonts w:hint="default" w:ascii="Times New Roman" w:hAnsi="Times New Roman" w:cs="Times New Roman"/>
                <w:color w:val="auto"/>
                <w:kern w:val="2"/>
                <w:sz w:val="21"/>
                <w:szCs w:val="21"/>
                <w:vertAlign w:val="superscript"/>
                <w:lang w:val="en-US" w:eastAsia="zh-CN" w:bidi="ar-SA"/>
              </w:rPr>
              <w:t>-3</w:t>
            </w:r>
          </w:p>
        </w:tc>
      </w:tr>
      <w:tr w14:paraId="5CD5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restart"/>
            <w:vAlign w:val="center"/>
          </w:tcPr>
          <w:p w14:paraId="17D8A696">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DA002醋酸生产车间过滤、精馏、分装、储存工序排气筒</w:t>
            </w:r>
          </w:p>
          <w:p w14:paraId="4D0DC3CE">
            <w:pPr>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highlight w:val="none"/>
                <w:lang w:val="en-US" w:eastAsia="zh-CN"/>
              </w:rPr>
              <w:t>出口</w:t>
            </w:r>
          </w:p>
        </w:tc>
        <w:tc>
          <w:tcPr>
            <w:tcW w:w="1102" w:type="pct"/>
            <w:shd w:val="clear" w:color="auto" w:fill="auto"/>
            <w:vAlign w:val="center"/>
          </w:tcPr>
          <w:p w14:paraId="08E5FA8C">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内径（m）</w:t>
            </w:r>
          </w:p>
        </w:tc>
        <w:tc>
          <w:tcPr>
            <w:tcW w:w="1658" w:type="pct"/>
            <w:gridSpan w:val="3"/>
            <w:vAlign w:val="center"/>
          </w:tcPr>
          <w:p w14:paraId="6034638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0.3</w:t>
            </w:r>
          </w:p>
        </w:tc>
        <w:tc>
          <w:tcPr>
            <w:tcW w:w="1658" w:type="pct"/>
            <w:gridSpan w:val="3"/>
            <w:shd w:val="clear" w:color="auto" w:fill="auto"/>
            <w:vAlign w:val="center"/>
          </w:tcPr>
          <w:p w14:paraId="371CECD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0.3</w:t>
            </w:r>
          </w:p>
        </w:tc>
      </w:tr>
      <w:tr w14:paraId="6E01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1327958E">
            <w:pPr>
              <w:spacing w:line="360" w:lineRule="auto"/>
              <w:jc w:val="center"/>
              <w:rPr>
                <w:rFonts w:hint="default" w:ascii="Times New Roman" w:hAnsi="Times New Roman" w:cs="Times New Roman"/>
                <w:color w:val="auto"/>
                <w:sz w:val="21"/>
                <w:szCs w:val="21"/>
              </w:rPr>
            </w:pPr>
          </w:p>
        </w:tc>
        <w:tc>
          <w:tcPr>
            <w:tcW w:w="1102" w:type="pct"/>
            <w:shd w:val="clear" w:color="auto" w:fill="auto"/>
            <w:vAlign w:val="center"/>
          </w:tcPr>
          <w:p w14:paraId="4619F62B">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高度（m）</w:t>
            </w:r>
          </w:p>
        </w:tc>
        <w:tc>
          <w:tcPr>
            <w:tcW w:w="1658" w:type="pct"/>
            <w:gridSpan w:val="3"/>
            <w:vAlign w:val="center"/>
          </w:tcPr>
          <w:p w14:paraId="659398E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w:t>
            </w:r>
          </w:p>
        </w:tc>
        <w:tc>
          <w:tcPr>
            <w:tcW w:w="1658" w:type="pct"/>
            <w:gridSpan w:val="3"/>
            <w:shd w:val="clear" w:color="auto" w:fill="auto"/>
            <w:vAlign w:val="center"/>
          </w:tcPr>
          <w:p w14:paraId="21DF148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w:t>
            </w:r>
          </w:p>
        </w:tc>
      </w:tr>
      <w:tr w14:paraId="2A9C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4E90B185">
            <w:pPr>
              <w:spacing w:line="360" w:lineRule="auto"/>
              <w:jc w:val="center"/>
              <w:rPr>
                <w:rFonts w:hint="default" w:ascii="Times New Roman" w:hAnsi="Times New Roman" w:cs="Times New Roman"/>
                <w:color w:val="auto"/>
                <w:sz w:val="21"/>
                <w:szCs w:val="21"/>
              </w:rPr>
            </w:pPr>
          </w:p>
        </w:tc>
        <w:tc>
          <w:tcPr>
            <w:tcW w:w="1102" w:type="pct"/>
            <w:shd w:val="clear" w:color="auto" w:fill="auto"/>
            <w:vAlign w:val="center"/>
          </w:tcPr>
          <w:p w14:paraId="15A0AF7A">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烟气温度（℃）</w:t>
            </w:r>
          </w:p>
        </w:tc>
        <w:tc>
          <w:tcPr>
            <w:tcW w:w="552" w:type="pct"/>
            <w:vAlign w:val="center"/>
          </w:tcPr>
          <w:p w14:paraId="1FEB773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14.1</w:t>
            </w:r>
          </w:p>
        </w:tc>
        <w:tc>
          <w:tcPr>
            <w:tcW w:w="552" w:type="pct"/>
            <w:vAlign w:val="center"/>
          </w:tcPr>
          <w:p w14:paraId="5DCEAB6D">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13.8</w:t>
            </w:r>
          </w:p>
        </w:tc>
        <w:tc>
          <w:tcPr>
            <w:tcW w:w="552" w:type="pct"/>
            <w:vAlign w:val="center"/>
          </w:tcPr>
          <w:p w14:paraId="2B6112A9">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11.7</w:t>
            </w:r>
          </w:p>
        </w:tc>
        <w:tc>
          <w:tcPr>
            <w:tcW w:w="552" w:type="pct"/>
            <w:vAlign w:val="center"/>
          </w:tcPr>
          <w:p w14:paraId="2C6108A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6.7</w:t>
            </w:r>
          </w:p>
        </w:tc>
        <w:tc>
          <w:tcPr>
            <w:tcW w:w="552" w:type="pct"/>
            <w:vAlign w:val="center"/>
          </w:tcPr>
          <w:p w14:paraId="63C66CA0">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8.2</w:t>
            </w:r>
          </w:p>
        </w:tc>
        <w:tc>
          <w:tcPr>
            <w:tcW w:w="552" w:type="pct"/>
            <w:vAlign w:val="center"/>
          </w:tcPr>
          <w:p w14:paraId="336B5EF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11.2</w:t>
            </w:r>
          </w:p>
        </w:tc>
      </w:tr>
      <w:tr w14:paraId="7427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6F0E907B">
            <w:pPr>
              <w:spacing w:line="360" w:lineRule="auto"/>
              <w:jc w:val="center"/>
              <w:rPr>
                <w:rFonts w:hint="default" w:ascii="Times New Roman" w:hAnsi="Times New Roman" w:cs="Times New Roman"/>
                <w:color w:val="auto"/>
                <w:sz w:val="21"/>
                <w:szCs w:val="21"/>
              </w:rPr>
            </w:pPr>
          </w:p>
        </w:tc>
        <w:tc>
          <w:tcPr>
            <w:tcW w:w="1102" w:type="pct"/>
            <w:vAlign w:val="center"/>
          </w:tcPr>
          <w:p w14:paraId="2228A367">
            <w:pP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auto"/>
                <w:sz w:val="21"/>
                <w:szCs w:val="21"/>
              </w:rPr>
              <w:t>废气量（m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552" w:type="pct"/>
            <w:vAlign w:val="center"/>
          </w:tcPr>
          <w:p w14:paraId="368301AA">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3107</w:t>
            </w:r>
          </w:p>
        </w:tc>
        <w:tc>
          <w:tcPr>
            <w:tcW w:w="552" w:type="pct"/>
            <w:vAlign w:val="center"/>
          </w:tcPr>
          <w:p w14:paraId="28A78379">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3149</w:t>
            </w:r>
          </w:p>
        </w:tc>
        <w:tc>
          <w:tcPr>
            <w:tcW w:w="552" w:type="pct"/>
            <w:vAlign w:val="center"/>
          </w:tcPr>
          <w:p w14:paraId="4D10217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2915</w:t>
            </w:r>
          </w:p>
        </w:tc>
        <w:tc>
          <w:tcPr>
            <w:tcW w:w="552" w:type="pct"/>
            <w:vAlign w:val="center"/>
          </w:tcPr>
          <w:p w14:paraId="5F9140E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2992</w:t>
            </w:r>
          </w:p>
        </w:tc>
        <w:tc>
          <w:tcPr>
            <w:tcW w:w="552" w:type="pct"/>
            <w:vAlign w:val="center"/>
          </w:tcPr>
          <w:p w14:paraId="1C7DA6FD">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2961</w:t>
            </w:r>
          </w:p>
        </w:tc>
        <w:tc>
          <w:tcPr>
            <w:tcW w:w="552" w:type="pct"/>
            <w:vAlign w:val="center"/>
          </w:tcPr>
          <w:p w14:paraId="6BBD8C4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2920</w:t>
            </w:r>
          </w:p>
        </w:tc>
      </w:tr>
      <w:tr w14:paraId="555D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47AC7890">
            <w:pPr>
              <w:spacing w:line="360" w:lineRule="auto"/>
              <w:jc w:val="center"/>
              <w:rPr>
                <w:rFonts w:hint="default" w:ascii="Times New Roman" w:hAnsi="Times New Roman" w:cs="Times New Roman"/>
                <w:color w:val="auto"/>
                <w:sz w:val="21"/>
                <w:szCs w:val="21"/>
              </w:rPr>
            </w:pPr>
          </w:p>
        </w:tc>
        <w:tc>
          <w:tcPr>
            <w:tcW w:w="1102" w:type="pct"/>
            <w:vAlign w:val="center"/>
          </w:tcPr>
          <w:p w14:paraId="64716888">
            <w:pPr>
              <w:spacing w:line="360"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color w:val="000000" w:themeColor="text1"/>
                <w:sz w:val="21"/>
                <w:szCs w:val="21"/>
                <w:lang w:eastAsia="zh-CN"/>
                <w14:textFill>
                  <w14:solidFill>
                    <w14:schemeClr w14:val="tx1"/>
                  </w14:solidFill>
                </w14:textFill>
              </w:rPr>
              <w:t>浓度</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552" w:type="pct"/>
            <w:vAlign w:val="center"/>
          </w:tcPr>
          <w:p w14:paraId="54E94E7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0.760</w:t>
            </w:r>
          </w:p>
        </w:tc>
        <w:tc>
          <w:tcPr>
            <w:tcW w:w="552" w:type="pct"/>
            <w:vAlign w:val="center"/>
          </w:tcPr>
          <w:p w14:paraId="50D4C639">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0.894</w:t>
            </w:r>
          </w:p>
        </w:tc>
        <w:tc>
          <w:tcPr>
            <w:tcW w:w="552" w:type="pct"/>
            <w:vAlign w:val="center"/>
          </w:tcPr>
          <w:p w14:paraId="4B886761">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0.813</w:t>
            </w:r>
          </w:p>
        </w:tc>
        <w:tc>
          <w:tcPr>
            <w:tcW w:w="552" w:type="pct"/>
            <w:vAlign w:val="center"/>
          </w:tcPr>
          <w:p w14:paraId="29D64261">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0.693</w:t>
            </w:r>
          </w:p>
        </w:tc>
        <w:tc>
          <w:tcPr>
            <w:tcW w:w="552" w:type="pct"/>
            <w:vAlign w:val="center"/>
          </w:tcPr>
          <w:p w14:paraId="7D897A5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0.867</w:t>
            </w:r>
          </w:p>
        </w:tc>
        <w:tc>
          <w:tcPr>
            <w:tcW w:w="552" w:type="pct"/>
            <w:vAlign w:val="center"/>
          </w:tcPr>
          <w:p w14:paraId="7323686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0.753</w:t>
            </w:r>
          </w:p>
        </w:tc>
      </w:tr>
      <w:tr w14:paraId="1C03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vMerge w:val="continue"/>
            <w:vAlign w:val="center"/>
          </w:tcPr>
          <w:p w14:paraId="7A854D63">
            <w:pPr>
              <w:spacing w:line="360" w:lineRule="auto"/>
              <w:jc w:val="center"/>
              <w:rPr>
                <w:rFonts w:hint="default" w:ascii="Times New Roman" w:hAnsi="Times New Roman" w:cs="Times New Roman"/>
                <w:color w:val="auto"/>
                <w:sz w:val="21"/>
                <w:szCs w:val="21"/>
              </w:rPr>
            </w:pPr>
          </w:p>
        </w:tc>
        <w:tc>
          <w:tcPr>
            <w:tcW w:w="1102" w:type="pct"/>
            <w:vAlign w:val="center"/>
          </w:tcPr>
          <w:p w14:paraId="30D84327">
            <w:pPr>
              <w:spacing w:line="36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VOCs</w:t>
            </w:r>
            <w:r>
              <w:rPr>
                <w:rFonts w:hint="default" w:ascii="Times New Roman" w:hAnsi="Times New Roman" w:cs="Times New Roman"/>
                <w:bCs/>
                <w:color w:val="000000"/>
                <w:sz w:val="21"/>
                <w:szCs w:val="21"/>
              </w:rPr>
              <w:t>排放速率</w:t>
            </w:r>
            <w:r>
              <w:rPr>
                <w:rFonts w:hint="default" w:ascii="Times New Roman" w:hAnsi="Times New Roman" w:cs="Times New Roman"/>
                <w:color w:val="000000" w:themeColor="text1"/>
                <w:sz w:val="21"/>
                <w:szCs w:val="21"/>
                <w14:textFill>
                  <w14:solidFill>
                    <w14:schemeClr w14:val="tx1"/>
                  </w14:solidFill>
                </w14:textFill>
              </w:rPr>
              <w:t>（kg/h）</w:t>
            </w:r>
          </w:p>
        </w:tc>
        <w:tc>
          <w:tcPr>
            <w:tcW w:w="552" w:type="pct"/>
            <w:vAlign w:val="center"/>
          </w:tcPr>
          <w:p w14:paraId="782B3872">
            <w:pPr>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2.36×10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4E54662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2.82×10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08DEEE0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2.37×10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4D747FC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2.07×10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54433AF6">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2.57×10</w:t>
            </w:r>
            <w:r>
              <w:rPr>
                <w:rFonts w:hint="default" w:ascii="Times New Roman" w:hAnsi="Times New Roman" w:cs="Times New Roman"/>
                <w:color w:val="auto"/>
                <w:kern w:val="2"/>
                <w:sz w:val="21"/>
                <w:szCs w:val="21"/>
                <w:vertAlign w:val="superscript"/>
                <w:lang w:val="en-US" w:eastAsia="zh-CN" w:bidi="ar-SA"/>
              </w:rPr>
              <w:t>-3</w:t>
            </w:r>
          </w:p>
        </w:tc>
        <w:tc>
          <w:tcPr>
            <w:tcW w:w="552" w:type="pct"/>
            <w:vAlign w:val="center"/>
          </w:tcPr>
          <w:p w14:paraId="7813D3E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2.20×10</w:t>
            </w:r>
            <w:r>
              <w:rPr>
                <w:rFonts w:hint="default" w:ascii="Times New Roman" w:hAnsi="Times New Roman" w:cs="Times New Roman"/>
                <w:color w:val="auto"/>
                <w:kern w:val="2"/>
                <w:sz w:val="21"/>
                <w:szCs w:val="21"/>
                <w:vertAlign w:val="superscript"/>
                <w:lang w:val="en-US" w:eastAsia="zh-CN" w:bidi="ar-SA"/>
              </w:rPr>
              <w:t>-3</w:t>
            </w:r>
          </w:p>
        </w:tc>
      </w:tr>
    </w:tbl>
    <w:p w14:paraId="6EC3B0EE">
      <w:pPr>
        <w:pStyle w:val="3"/>
        <w:spacing w:after="0" w:line="360" w:lineRule="auto"/>
        <w:ind w:lef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rPr>
        <w:t>由表9-</w:t>
      </w:r>
      <w:r>
        <w:rPr>
          <w:rFonts w:hint="eastAsia" w:cs="Times New Roman"/>
          <w:color w:val="000000"/>
          <w:sz w:val="24"/>
          <w:szCs w:val="24"/>
          <w:lang w:val="en-US" w:eastAsia="zh-CN"/>
        </w:rPr>
        <w:t>2</w:t>
      </w:r>
      <w:r>
        <w:rPr>
          <w:rFonts w:hint="default" w:ascii="Times New Roman" w:hAnsi="Times New Roman" w:eastAsia="宋体" w:cs="Times New Roman"/>
          <w:color w:val="000000"/>
          <w:sz w:val="24"/>
          <w:szCs w:val="24"/>
        </w:rPr>
        <w:t>可知，验收监测期间，</w:t>
      </w:r>
      <w:bookmarkStart w:id="64" w:name="_Hlk47977346"/>
      <w:r>
        <w:rPr>
          <w:rFonts w:hint="default" w:ascii="Times New Roman" w:hAnsi="Times New Roman" w:eastAsia="宋体" w:cs="Times New Roman"/>
          <w:color w:val="000000"/>
          <w:sz w:val="24"/>
          <w:szCs w:val="24"/>
          <w:lang w:val="en-US" w:eastAsia="zh-CN"/>
        </w:rPr>
        <w:t>排气筒P1</w:t>
      </w:r>
      <w:r>
        <w:rPr>
          <w:rFonts w:hint="default" w:ascii="Times New Roman" w:hAnsi="Times New Roman" w:eastAsia="宋体" w:cs="Times New Roman"/>
          <w:color w:val="000000"/>
          <w:sz w:val="24"/>
          <w:szCs w:val="24"/>
        </w:rPr>
        <w:t>废气有组织污染物</w:t>
      </w:r>
      <w:r>
        <w:rPr>
          <w:rFonts w:hint="eastAsia" w:cs="Times New Roman"/>
          <w:color w:val="000000"/>
          <w:sz w:val="24"/>
          <w:szCs w:val="24"/>
          <w:lang w:val="en-US" w:eastAsia="zh-CN"/>
        </w:rPr>
        <w:t>VOCs</w:t>
      </w:r>
      <w:r>
        <w:rPr>
          <w:rFonts w:hint="default" w:ascii="Times New Roman" w:hAnsi="Times New Roman" w:eastAsia="宋体" w:cs="Times New Roman"/>
          <w:color w:val="000000"/>
          <w:sz w:val="24"/>
          <w:szCs w:val="24"/>
        </w:rPr>
        <w:t>最大排放浓度为</w:t>
      </w:r>
      <w:r>
        <w:rPr>
          <w:rFonts w:hint="eastAsia" w:cs="Times New Roman"/>
          <w:color w:val="000000"/>
          <w:sz w:val="24"/>
          <w:szCs w:val="24"/>
          <w:lang w:val="en-US" w:eastAsia="zh-CN"/>
        </w:rPr>
        <w:t>0.965</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，最大排放速率为</w:t>
      </w:r>
      <w:r>
        <w:rPr>
          <w:rFonts w:hint="eastAsia" w:cs="Times New Roman"/>
          <w:color w:val="auto"/>
          <w:kern w:val="2"/>
          <w:sz w:val="24"/>
          <w:szCs w:val="24"/>
          <w:lang w:val="en-US" w:eastAsia="zh-CN" w:bidi="ar-SA"/>
        </w:rPr>
        <w:t>2.80</w:t>
      </w:r>
      <w:r>
        <w:rPr>
          <w:rFonts w:hint="default"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vertAlign w:val="superscript"/>
          <w:lang w:val="en-US" w:eastAsia="zh-CN" w:bidi="ar-SA"/>
        </w:rPr>
        <w:t>-</w:t>
      </w:r>
      <w:r>
        <w:rPr>
          <w:rFonts w:hint="eastAsia" w:cs="Times New Roman"/>
          <w:color w:val="auto"/>
          <w:kern w:val="2"/>
          <w:sz w:val="24"/>
          <w:szCs w:val="24"/>
          <w:vertAlign w:val="superscript"/>
          <w:lang w:val="en-US" w:eastAsia="zh-CN" w:bidi="ar-SA"/>
        </w:rPr>
        <w:t>3</w:t>
      </w:r>
      <w:r>
        <w:rPr>
          <w:rFonts w:hint="default" w:ascii="Times New Roman" w:hAnsi="Times New Roman" w:eastAsia="宋体" w:cs="Times New Roman"/>
          <w:color w:val="000000"/>
          <w:sz w:val="24"/>
          <w:szCs w:val="24"/>
        </w:rPr>
        <w:t>kg/h</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满足</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《挥发性有机物排放控制标准  第6部分：有机化工行业》（DB37/2801.6-2018）表1II时段排放限值要求(60mg/m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、3.0kg/h)</w:t>
      </w:r>
    </w:p>
    <w:p w14:paraId="7A1908F9">
      <w:pPr>
        <w:pStyle w:val="3"/>
        <w:spacing w:after="0" w:line="360" w:lineRule="auto"/>
        <w:ind w:left="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排气筒P</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废气有组织污染物</w:t>
      </w:r>
      <w:r>
        <w:rPr>
          <w:rFonts w:hint="eastAsia" w:cs="Times New Roman"/>
          <w:color w:val="000000"/>
          <w:sz w:val="24"/>
          <w:szCs w:val="24"/>
          <w:lang w:val="en-US" w:eastAsia="zh-CN"/>
        </w:rPr>
        <w:t>VOCs</w:t>
      </w:r>
      <w:r>
        <w:rPr>
          <w:rFonts w:hint="default" w:ascii="Times New Roman" w:hAnsi="Times New Roman" w:eastAsia="宋体" w:cs="Times New Roman"/>
          <w:color w:val="000000"/>
          <w:sz w:val="24"/>
          <w:szCs w:val="24"/>
        </w:rPr>
        <w:t>最大排放浓度为</w:t>
      </w:r>
      <w:r>
        <w:rPr>
          <w:rFonts w:hint="eastAsia" w:cs="Times New Roman"/>
          <w:color w:val="000000"/>
          <w:sz w:val="24"/>
          <w:szCs w:val="24"/>
          <w:lang w:val="en-US" w:eastAsia="zh-CN"/>
        </w:rPr>
        <w:t>0.894</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，最大排放速率为</w:t>
      </w:r>
      <w:r>
        <w:rPr>
          <w:rFonts w:hint="eastAsia" w:cs="Times New Roman"/>
          <w:color w:val="auto"/>
          <w:kern w:val="2"/>
          <w:sz w:val="24"/>
          <w:szCs w:val="24"/>
          <w:lang w:val="en-US" w:eastAsia="zh-CN" w:bidi="ar-SA"/>
        </w:rPr>
        <w:t>2.82</w:t>
      </w:r>
      <w:r>
        <w:rPr>
          <w:rFonts w:hint="default"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vertAlign w:val="superscript"/>
          <w:lang w:val="en-US" w:eastAsia="zh-CN" w:bidi="ar-SA"/>
        </w:rPr>
        <w:t>-</w:t>
      </w:r>
      <w:r>
        <w:rPr>
          <w:rFonts w:hint="eastAsia" w:cs="Times New Roman"/>
          <w:color w:val="auto"/>
          <w:kern w:val="2"/>
          <w:sz w:val="24"/>
          <w:szCs w:val="24"/>
          <w:vertAlign w:val="superscript"/>
          <w:lang w:val="en-US" w:eastAsia="zh-CN" w:bidi="ar-SA"/>
        </w:rPr>
        <w:t>3</w:t>
      </w:r>
      <w:r>
        <w:rPr>
          <w:rFonts w:hint="default" w:ascii="Times New Roman" w:hAnsi="Times New Roman" w:eastAsia="宋体" w:cs="Times New Roman"/>
          <w:color w:val="000000"/>
          <w:sz w:val="24"/>
          <w:szCs w:val="24"/>
        </w:rPr>
        <w:t>kg/h</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满足《挥发性有机物排放标准第7部分：其他行业》（DB37/2801.7-2019）表1II时段排放限值要(60mg/m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、3.0kg/h)</w:t>
      </w:r>
      <w:r>
        <w:rPr>
          <w:rFonts w:hint="eastAsia" w:ascii="Times New Roman" w:hAnsi="Times New Roman" w:eastAsia="宋体" w:cs="Times New Roman"/>
          <w:color w:val="000000"/>
          <w:sz w:val="24"/>
          <w:szCs w:val="24"/>
          <w:lang w:eastAsia="zh-CN"/>
        </w:rPr>
        <w:t>。</w:t>
      </w:r>
    </w:p>
    <w:bookmarkEnd w:id="64"/>
    <w:p w14:paraId="6FA910EA">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2、无组织排放</w:t>
      </w:r>
    </w:p>
    <w:p w14:paraId="37D3ACD6">
      <w:pPr>
        <w:pStyle w:val="3"/>
        <w:spacing w:after="0" w:line="360" w:lineRule="auto"/>
        <w:ind w:left="0" w:firstLine="480" w:firstLineChars="200"/>
        <w:rPr>
          <w:rFonts w:hint="eastAsia" w:cs="Times New Roman"/>
          <w:color w:val="000000"/>
          <w:sz w:val="24"/>
          <w:szCs w:val="28"/>
          <w:lang w:val="en-US" w:eastAsia="zh-CN"/>
        </w:rPr>
      </w:pPr>
      <w:r>
        <w:rPr>
          <w:rFonts w:hint="eastAsia" w:cs="Times New Roman"/>
          <w:color w:val="000000"/>
          <w:sz w:val="24"/>
          <w:szCs w:val="28"/>
          <w:lang w:val="en-US" w:eastAsia="zh-CN"/>
        </w:rPr>
        <w:t>无组织废气检测期间气象条件表见表9-4</w:t>
      </w:r>
    </w:p>
    <w:p w14:paraId="13DBF981">
      <w:pPr>
        <w:pStyle w:val="3"/>
        <w:spacing w:after="0" w:line="240" w:lineRule="auto"/>
        <w:ind w:left="0"/>
        <w:jc w:val="center"/>
        <w:rPr>
          <w:rFonts w:hint="default" w:ascii="Times New Roman" w:hAnsi="Times New Roman" w:cs="Times New Roman"/>
          <w:b/>
          <w:sz w:val="22"/>
          <w:szCs w:val="24"/>
          <w:lang w:val="en-US" w:eastAsia="zh-CN"/>
        </w:rPr>
      </w:pPr>
      <w:r>
        <w:rPr>
          <w:rFonts w:hint="default" w:ascii="Times New Roman" w:hAnsi="Times New Roman" w:cs="Times New Roman"/>
          <w:b/>
          <w:sz w:val="22"/>
          <w:szCs w:val="24"/>
          <w:lang w:val="en-US" w:eastAsia="zh-CN"/>
        </w:rPr>
        <w:t>表9.</w:t>
      </w:r>
      <w:r>
        <w:rPr>
          <w:rFonts w:hint="eastAsia" w:cs="Times New Roman"/>
          <w:b/>
          <w:sz w:val="22"/>
          <w:szCs w:val="24"/>
          <w:lang w:val="en-US" w:eastAsia="zh-CN"/>
        </w:rPr>
        <w:t>4</w:t>
      </w:r>
      <w:r>
        <w:rPr>
          <w:rFonts w:hint="default" w:ascii="Times New Roman" w:hAnsi="Times New Roman" w:cs="Times New Roman"/>
          <w:b/>
          <w:sz w:val="22"/>
          <w:szCs w:val="24"/>
          <w:lang w:val="en-US" w:eastAsia="zh-CN"/>
        </w:rPr>
        <w:t>无组织废气检测期间气象条件表</w:t>
      </w:r>
    </w:p>
    <w:tbl>
      <w:tblPr>
        <w:tblStyle w:val="3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1008"/>
        <w:gridCol w:w="989"/>
        <w:gridCol w:w="989"/>
        <w:gridCol w:w="989"/>
        <w:gridCol w:w="989"/>
        <w:gridCol w:w="989"/>
        <w:gridCol w:w="989"/>
        <w:gridCol w:w="995"/>
      </w:tblGrid>
      <w:tr w14:paraId="0403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Align w:val="center"/>
          </w:tcPr>
          <w:p w14:paraId="41B8BF94">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采样日期</w:t>
            </w:r>
          </w:p>
        </w:tc>
        <w:tc>
          <w:tcPr>
            <w:tcW w:w="1008" w:type="dxa"/>
            <w:vAlign w:val="center"/>
          </w:tcPr>
          <w:p w14:paraId="4D62043F">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采样</w:t>
            </w:r>
          </w:p>
          <w:p w14:paraId="59AC615A">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时间</w:t>
            </w:r>
          </w:p>
        </w:tc>
        <w:tc>
          <w:tcPr>
            <w:tcW w:w="989" w:type="dxa"/>
            <w:vAlign w:val="center"/>
          </w:tcPr>
          <w:p w14:paraId="1BA1EC0E">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温度（℃）</w:t>
            </w:r>
          </w:p>
        </w:tc>
        <w:tc>
          <w:tcPr>
            <w:tcW w:w="989" w:type="dxa"/>
            <w:vAlign w:val="center"/>
          </w:tcPr>
          <w:p w14:paraId="2DF77388">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湿度</w:t>
            </w:r>
            <w:r>
              <w:rPr>
                <w:rFonts w:hint="default" w:ascii="Times New Roman" w:hAnsi="Times New Roman" w:cs="Times New Roman"/>
                <w:bCs/>
                <w:color w:val="auto"/>
                <w:spacing w:val="-24"/>
                <w:kern w:val="0"/>
                <w:szCs w:val="21"/>
              </w:rPr>
              <w:t>（%RH）</w:t>
            </w:r>
          </w:p>
        </w:tc>
        <w:tc>
          <w:tcPr>
            <w:tcW w:w="989" w:type="dxa"/>
            <w:vAlign w:val="center"/>
          </w:tcPr>
          <w:p w14:paraId="20CF141F">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风向</w:t>
            </w:r>
          </w:p>
        </w:tc>
        <w:tc>
          <w:tcPr>
            <w:tcW w:w="989" w:type="dxa"/>
            <w:vAlign w:val="center"/>
          </w:tcPr>
          <w:p w14:paraId="4505963F">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风速（m/s）</w:t>
            </w:r>
          </w:p>
        </w:tc>
        <w:tc>
          <w:tcPr>
            <w:tcW w:w="989" w:type="dxa"/>
            <w:vAlign w:val="center"/>
          </w:tcPr>
          <w:p w14:paraId="0A290832">
            <w:pPr>
              <w:widowControl/>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kern w:val="0"/>
                <w:szCs w:val="21"/>
              </w:rPr>
              <w:t>总云量</w:t>
            </w:r>
          </w:p>
        </w:tc>
        <w:tc>
          <w:tcPr>
            <w:tcW w:w="989" w:type="dxa"/>
            <w:vAlign w:val="center"/>
          </w:tcPr>
          <w:p w14:paraId="101F7921">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低云量</w:t>
            </w:r>
          </w:p>
        </w:tc>
        <w:tc>
          <w:tcPr>
            <w:tcW w:w="995" w:type="dxa"/>
            <w:vAlign w:val="center"/>
          </w:tcPr>
          <w:p w14:paraId="098D9FDF">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大气压（hPa）</w:t>
            </w:r>
          </w:p>
        </w:tc>
      </w:tr>
      <w:tr w14:paraId="481A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restart"/>
            <w:vAlign w:val="center"/>
          </w:tcPr>
          <w:p w14:paraId="0F434A64">
            <w:pPr>
              <w:jc w:val="center"/>
              <w:rPr>
                <w:rFonts w:hint="default" w:ascii="Times New Roman" w:hAnsi="Times New Roman" w:cs="Times New Roman"/>
                <w:bCs/>
                <w:color w:val="auto"/>
                <w:szCs w:val="21"/>
                <w:lang w:val="en-US"/>
              </w:rPr>
            </w:pPr>
            <w:r>
              <w:rPr>
                <w:rFonts w:hint="default" w:ascii="Times New Roman" w:hAnsi="Times New Roman" w:cs="Times New Roman"/>
                <w:kern w:val="2"/>
                <w:sz w:val="21"/>
                <w:szCs w:val="21"/>
                <w:lang w:val="en-US" w:eastAsia="zh-CN" w:bidi="ar-SA"/>
              </w:rPr>
              <w:t>2024.11.25</w:t>
            </w:r>
          </w:p>
        </w:tc>
        <w:tc>
          <w:tcPr>
            <w:tcW w:w="1008" w:type="dxa"/>
            <w:vAlign w:val="center"/>
          </w:tcPr>
          <w:p w14:paraId="55546E2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12:48</w:t>
            </w:r>
          </w:p>
        </w:tc>
        <w:tc>
          <w:tcPr>
            <w:tcW w:w="989" w:type="dxa"/>
            <w:vAlign w:val="center"/>
          </w:tcPr>
          <w:p w14:paraId="607CF80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6.3</w:t>
            </w:r>
          </w:p>
        </w:tc>
        <w:tc>
          <w:tcPr>
            <w:tcW w:w="989" w:type="dxa"/>
            <w:vAlign w:val="center"/>
          </w:tcPr>
          <w:p w14:paraId="5EB4C5D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46.3</w:t>
            </w:r>
          </w:p>
        </w:tc>
        <w:tc>
          <w:tcPr>
            <w:tcW w:w="989" w:type="dxa"/>
            <w:vAlign w:val="center"/>
          </w:tcPr>
          <w:p w14:paraId="78E1C1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3924B25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989" w:type="dxa"/>
            <w:vAlign w:val="center"/>
          </w:tcPr>
          <w:p w14:paraId="499986E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w:t>
            </w:r>
          </w:p>
        </w:tc>
        <w:tc>
          <w:tcPr>
            <w:tcW w:w="989" w:type="dxa"/>
            <w:vAlign w:val="center"/>
          </w:tcPr>
          <w:p w14:paraId="0BA7B1B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p>
        </w:tc>
        <w:tc>
          <w:tcPr>
            <w:tcW w:w="995" w:type="dxa"/>
            <w:vAlign w:val="center"/>
          </w:tcPr>
          <w:p w14:paraId="60E0F15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r w14:paraId="2165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continue"/>
            <w:vAlign w:val="center"/>
          </w:tcPr>
          <w:p w14:paraId="7A71A211">
            <w:pPr>
              <w:jc w:val="center"/>
              <w:rPr>
                <w:rFonts w:hint="default" w:ascii="Times New Roman" w:hAnsi="Times New Roman" w:cs="Times New Roman"/>
                <w:color w:val="auto"/>
              </w:rPr>
            </w:pPr>
          </w:p>
        </w:tc>
        <w:tc>
          <w:tcPr>
            <w:tcW w:w="1008" w:type="dxa"/>
            <w:vAlign w:val="center"/>
          </w:tcPr>
          <w:p w14:paraId="7E850A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13:48</w:t>
            </w:r>
          </w:p>
        </w:tc>
        <w:tc>
          <w:tcPr>
            <w:tcW w:w="989" w:type="dxa"/>
            <w:vAlign w:val="center"/>
          </w:tcPr>
          <w:p w14:paraId="6504299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7.5</w:t>
            </w:r>
          </w:p>
        </w:tc>
        <w:tc>
          <w:tcPr>
            <w:tcW w:w="989" w:type="dxa"/>
            <w:vAlign w:val="center"/>
          </w:tcPr>
          <w:p w14:paraId="3A438C5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45.7</w:t>
            </w:r>
          </w:p>
        </w:tc>
        <w:tc>
          <w:tcPr>
            <w:tcW w:w="989" w:type="dxa"/>
            <w:vAlign w:val="center"/>
          </w:tcPr>
          <w:p w14:paraId="3A60D72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0F2D028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989" w:type="dxa"/>
            <w:vAlign w:val="center"/>
          </w:tcPr>
          <w:p w14:paraId="3EEE3B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w:t>
            </w:r>
          </w:p>
        </w:tc>
        <w:tc>
          <w:tcPr>
            <w:tcW w:w="989" w:type="dxa"/>
            <w:vAlign w:val="center"/>
          </w:tcPr>
          <w:p w14:paraId="64CCD7E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995" w:type="dxa"/>
            <w:vAlign w:val="center"/>
          </w:tcPr>
          <w:p w14:paraId="1E45D39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r w14:paraId="2687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continue"/>
            <w:vAlign w:val="center"/>
          </w:tcPr>
          <w:p w14:paraId="72C545E6">
            <w:pPr>
              <w:jc w:val="center"/>
              <w:rPr>
                <w:rFonts w:hint="default" w:ascii="Times New Roman" w:hAnsi="Times New Roman" w:cs="Times New Roman"/>
                <w:color w:val="auto"/>
              </w:rPr>
            </w:pPr>
          </w:p>
        </w:tc>
        <w:tc>
          <w:tcPr>
            <w:tcW w:w="1008" w:type="dxa"/>
            <w:vAlign w:val="center"/>
          </w:tcPr>
          <w:p w14:paraId="256A6D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15:12</w:t>
            </w:r>
          </w:p>
        </w:tc>
        <w:tc>
          <w:tcPr>
            <w:tcW w:w="989" w:type="dxa"/>
            <w:vAlign w:val="center"/>
          </w:tcPr>
          <w:p w14:paraId="3D0520F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6.8</w:t>
            </w:r>
          </w:p>
        </w:tc>
        <w:tc>
          <w:tcPr>
            <w:tcW w:w="989" w:type="dxa"/>
            <w:vAlign w:val="center"/>
          </w:tcPr>
          <w:p w14:paraId="472ABF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44.2</w:t>
            </w:r>
          </w:p>
        </w:tc>
        <w:tc>
          <w:tcPr>
            <w:tcW w:w="989" w:type="dxa"/>
            <w:vAlign w:val="center"/>
          </w:tcPr>
          <w:p w14:paraId="73AF378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58543B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w:t>
            </w:r>
          </w:p>
        </w:tc>
        <w:tc>
          <w:tcPr>
            <w:tcW w:w="989" w:type="dxa"/>
            <w:vAlign w:val="center"/>
          </w:tcPr>
          <w:p w14:paraId="4C9664B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9</w:t>
            </w:r>
          </w:p>
        </w:tc>
        <w:tc>
          <w:tcPr>
            <w:tcW w:w="989" w:type="dxa"/>
            <w:vAlign w:val="center"/>
          </w:tcPr>
          <w:p w14:paraId="126204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995" w:type="dxa"/>
            <w:vAlign w:val="center"/>
          </w:tcPr>
          <w:p w14:paraId="17BA5B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r w14:paraId="3856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restart"/>
            <w:vAlign w:val="center"/>
          </w:tcPr>
          <w:p w14:paraId="61A1C68C">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2024.11.26</w:t>
            </w:r>
          </w:p>
        </w:tc>
        <w:tc>
          <w:tcPr>
            <w:tcW w:w="1008" w:type="dxa"/>
            <w:vAlign w:val="center"/>
          </w:tcPr>
          <w:p w14:paraId="0DC8ACC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08:54</w:t>
            </w:r>
          </w:p>
        </w:tc>
        <w:tc>
          <w:tcPr>
            <w:tcW w:w="989" w:type="dxa"/>
            <w:vAlign w:val="center"/>
          </w:tcPr>
          <w:p w14:paraId="4B57442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4.1</w:t>
            </w:r>
          </w:p>
        </w:tc>
        <w:tc>
          <w:tcPr>
            <w:tcW w:w="989" w:type="dxa"/>
            <w:vAlign w:val="center"/>
          </w:tcPr>
          <w:p w14:paraId="67D83556">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47.6</w:t>
            </w:r>
          </w:p>
        </w:tc>
        <w:tc>
          <w:tcPr>
            <w:tcW w:w="989" w:type="dxa"/>
            <w:vAlign w:val="center"/>
          </w:tcPr>
          <w:p w14:paraId="24B4DF85">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3CBE3BA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w:t>
            </w:r>
          </w:p>
        </w:tc>
        <w:tc>
          <w:tcPr>
            <w:tcW w:w="989" w:type="dxa"/>
            <w:vAlign w:val="center"/>
          </w:tcPr>
          <w:p w14:paraId="4F8DA3DB">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989" w:type="dxa"/>
            <w:vAlign w:val="center"/>
          </w:tcPr>
          <w:p w14:paraId="061F0EB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995" w:type="dxa"/>
            <w:vAlign w:val="center"/>
          </w:tcPr>
          <w:p w14:paraId="208684D5">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r w14:paraId="6EF2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continue"/>
            <w:vAlign w:val="center"/>
          </w:tcPr>
          <w:p w14:paraId="28B32C97">
            <w:pPr>
              <w:jc w:val="center"/>
              <w:rPr>
                <w:rFonts w:hint="default" w:ascii="Times New Roman" w:hAnsi="Times New Roman" w:cs="Times New Roman"/>
                <w:color w:val="auto"/>
              </w:rPr>
            </w:pPr>
          </w:p>
        </w:tc>
        <w:tc>
          <w:tcPr>
            <w:tcW w:w="1008" w:type="dxa"/>
            <w:vAlign w:val="center"/>
          </w:tcPr>
          <w:p w14:paraId="72B658C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10:28</w:t>
            </w:r>
          </w:p>
        </w:tc>
        <w:tc>
          <w:tcPr>
            <w:tcW w:w="989" w:type="dxa"/>
            <w:vAlign w:val="center"/>
          </w:tcPr>
          <w:p w14:paraId="0327872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5.7</w:t>
            </w:r>
          </w:p>
        </w:tc>
        <w:tc>
          <w:tcPr>
            <w:tcW w:w="989" w:type="dxa"/>
            <w:vAlign w:val="center"/>
          </w:tcPr>
          <w:p w14:paraId="29F87EC7">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45.8</w:t>
            </w:r>
          </w:p>
        </w:tc>
        <w:tc>
          <w:tcPr>
            <w:tcW w:w="989" w:type="dxa"/>
            <w:vAlign w:val="center"/>
          </w:tcPr>
          <w:p w14:paraId="1B3B8AB7">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47C63225">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w:t>
            </w:r>
          </w:p>
        </w:tc>
        <w:tc>
          <w:tcPr>
            <w:tcW w:w="989" w:type="dxa"/>
            <w:vAlign w:val="center"/>
          </w:tcPr>
          <w:p w14:paraId="2F55EB0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989" w:type="dxa"/>
            <w:vAlign w:val="center"/>
          </w:tcPr>
          <w:p w14:paraId="5447ACC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995" w:type="dxa"/>
            <w:vAlign w:val="center"/>
          </w:tcPr>
          <w:p w14:paraId="0F8D4724">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r w14:paraId="1E85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3" w:type="dxa"/>
            <w:vMerge w:val="continue"/>
            <w:vAlign w:val="center"/>
          </w:tcPr>
          <w:p w14:paraId="295844A4">
            <w:pPr>
              <w:jc w:val="center"/>
              <w:rPr>
                <w:rFonts w:hint="default" w:ascii="Times New Roman" w:hAnsi="Times New Roman" w:cs="Times New Roman"/>
                <w:color w:val="auto"/>
              </w:rPr>
            </w:pPr>
          </w:p>
        </w:tc>
        <w:tc>
          <w:tcPr>
            <w:tcW w:w="1008" w:type="dxa"/>
            <w:vAlign w:val="center"/>
          </w:tcPr>
          <w:p w14:paraId="4C00AB8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11:36</w:t>
            </w:r>
          </w:p>
        </w:tc>
        <w:tc>
          <w:tcPr>
            <w:tcW w:w="989" w:type="dxa"/>
            <w:vAlign w:val="center"/>
          </w:tcPr>
          <w:p w14:paraId="3046E57E">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6.6</w:t>
            </w:r>
          </w:p>
        </w:tc>
        <w:tc>
          <w:tcPr>
            <w:tcW w:w="989" w:type="dxa"/>
            <w:vAlign w:val="center"/>
          </w:tcPr>
          <w:p w14:paraId="2380F8E0">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44.3</w:t>
            </w:r>
          </w:p>
        </w:tc>
        <w:tc>
          <w:tcPr>
            <w:tcW w:w="989" w:type="dxa"/>
            <w:vAlign w:val="center"/>
          </w:tcPr>
          <w:p w14:paraId="631EFC67">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w:t>
            </w:r>
          </w:p>
        </w:tc>
        <w:tc>
          <w:tcPr>
            <w:tcW w:w="989" w:type="dxa"/>
            <w:vAlign w:val="center"/>
          </w:tcPr>
          <w:p w14:paraId="1A205B8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1.2</w:t>
            </w:r>
          </w:p>
        </w:tc>
        <w:tc>
          <w:tcPr>
            <w:tcW w:w="989" w:type="dxa"/>
            <w:vAlign w:val="center"/>
          </w:tcPr>
          <w:p w14:paraId="551AEA76">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989" w:type="dxa"/>
            <w:vAlign w:val="center"/>
          </w:tcPr>
          <w:p w14:paraId="0C984A5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995" w:type="dxa"/>
            <w:vAlign w:val="center"/>
          </w:tcPr>
          <w:p w14:paraId="437D84C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1026</w:t>
            </w:r>
          </w:p>
        </w:tc>
      </w:tr>
    </w:tbl>
    <w:p w14:paraId="067B139A">
      <w:pPr>
        <w:pStyle w:val="3"/>
        <w:spacing w:after="0" w:line="360" w:lineRule="auto"/>
        <w:ind w:left="0" w:firstLine="480" w:firstLineChars="200"/>
        <w:rPr>
          <w:rFonts w:hint="default" w:ascii="Times New Roman" w:hAnsi="Times New Roman" w:cs="Times New Roman"/>
          <w:b/>
          <w:sz w:val="22"/>
          <w:szCs w:val="24"/>
        </w:rPr>
      </w:pPr>
      <w:r>
        <w:rPr>
          <w:rFonts w:hint="default" w:ascii="Times New Roman" w:hAnsi="Times New Roman" w:cs="Times New Roman"/>
          <w:color w:val="000000"/>
          <w:sz w:val="24"/>
          <w:szCs w:val="28"/>
        </w:rPr>
        <w:t>监测结果见表9-</w:t>
      </w:r>
      <w:r>
        <w:rPr>
          <w:rFonts w:hint="eastAsia" w:cs="Times New Roman"/>
          <w:color w:val="000000"/>
          <w:sz w:val="24"/>
          <w:szCs w:val="28"/>
          <w:lang w:val="en-US" w:eastAsia="zh-CN"/>
        </w:rPr>
        <w:t>5</w:t>
      </w:r>
      <w:r>
        <w:rPr>
          <w:rFonts w:hint="default" w:ascii="Times New Roman" w:hAnsi="Times New Roman" w:cs="Times New Roman"/>
          <w:color w:val="000000"/>
          <w:sz w:val="24"/>
          <w:szCs w:val="28"/>
        </w:rPr>
        <w:t>。</w:t>
      </w:r>
    </w:p>
    <w:p w14:paraId="72506B13">
      <w:pPr>
        <w:pStyle w:val="3"/>
        <w:spacing w:after="0" w:line="240" w:lineRule="auto"/>
        <w:ind w:left="0"/>
        <w:jc w:val="center"/>
        <w:rPr>
          <w:rFonts w:hint="default" w:ascii="Times New Roman" w:hAnsi="Times New Roman" w:cs="Times New Roman"/>
          <w:b/>
          <w:sz w:val="22"/>
          <w:szCs w:val="24"/>
        </w:rPr>
      </w:pPr>
      <w:r>
        <w:rPr>
          <w:rFonts w:hint="default" w:ascii="Times New Roman" w:hAnsi="Times New Roman" w:cs="Times New Roman"/>
          <w:b/>
          <w:sz w:val="22"/>
          <w:szCs w:val="24"/>
        </w:rPr>
        <w:t>表9-</w:t>
      </w:r>
      <w:r>
        <w:rPr>
          <w:rFonts w:hint="eastAsia" w:cs="Times New Roman"/>
          <w:b/>
          <w:sz w:val="22"/>
          <w:szCs w:val="24"/>
          <w:lang w:val="en-US" w:eastAsia="zh-CN"/>
        </w:rPr>
        <w:t>5</w:t>
      </w:r>
      <w:r>
        <w:rPr>
          <w:rFonts w:hint="default" w:ascii="Times New Roman" w:hAnsi="Times New Roman" w:cs="Times New Roman"/>
          <w:b/>
          <w:sz w:val="22"/>
          <w:szCs w:val="24"/>
        </w:rPr>
        <w:t xml:space="preserve">  无组织废气监测结果汇总</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117"/>
        <w:gridCol w:w="1783"/>
        <w:gridCol w:w="1783"/>
        <w:gridCol w:w="1783"/>
        <w:gridCol w:w="1898"/>
      </w:tblGrid>
      <w:tr w14:paraId="1E2B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3" w:type="pct"/>
            <w:vMerge w:val="restart"/>
            <w:vAlign w:val="center"/>
          </w:tcPr>
          <w:p w14:paraId="5C2BC6F2">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采样</w:t>
            </w:r>
          </w:p>
          <w:p w14:paraId="111EA1DA">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color w:val="auto"/>
                <w:sz w:val="21"/>
                <w:szCs w:val="21"/>
              </w:rPr>
              <w:t>日期</w:t>
            </w:r>
          </w:p>
        </w:tc>
        <w:tc>
          <w:tcPr>
            <w:tcW w:w="601" w:type="pct"/>
            <w:vMerge w:val="restart"/>
            <w:vAlign w:val="center"/>
          </w:tcPr>
          <w:p w14:paraId="646CF7D5">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采样</w:t>
            </w:r>
          </w:p>
          <w:p w14:paraId="324B66B3">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color w:val="auto"/>
                <w:kern w:val="2"/>
                <w:sz w:val="21"/>
                <w:szCs w:val="21"/>
                <w:lang w:val="en-US" w:eastAsia="zh-CN" w:bidi="ar-SA"/>
              </w:rPr>
              <w:t>频次</w:t>
            </w:r>
          </w:p>
        </w:tc>
        <w:tc>
          <w:tcPr>
            <w:tcW w:w="3904" w:type="pct"/>
            <w:gridSpan w:val="4"/>
            <w:vAlign w:val="center"/>
          </w:tcPr>
          <w:p w14:paraId="32141868">
            <w:pPr>
              <w:spacing w:line="240" w:lineRule="auto"/>
              <w:jc w:val="center"/>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kern w:val="2"/>
                <w:sz w:val="21"/>
                <w:szCs w:val="21"/>
                <w:highlight w:val="none"/>
                <w:lang w:val="en-US" w:eastAsia="zh-CN" w:bidi="ar-SA"/>
              </w:rPr>
              <w:t>挥发性有机物（VOCs）</w:t>
            </w:r>
            <w:r>
              <w:rPr>
                <w:rFonts w:hint="default" w:ascii="Times New Roman" w:hAnsi="Times New Roman" w:cs="Times New Roman"/>
                <w:b/>
                <w:bCs w:val="0"/>
                <w:color w:val="auto"/>
                <w:sz w:val="21"/>
                <w:szCs w:val="21"/>
              </w:rPr>
              <w:t>（</w:t>
            </w:r>
            <w:r>
              <w:rPr>
                <w:rFonts w:hint="default" w:ascii="Times New Roman" w:hAnsi="Times New Roman" w:cs="Times New Roman"/>
                <w:b/>
                <w:bCs w:val="0"/>
                <w:color w:val="auto"/>
                <w:sz w:val="21"/>
                <w:szCs w:val="21"/>
                <w:lang w:eastAsia="zh-CN"/>
              </w:rPr>
              <w:t>μ</w:t>
            </w:r>
            <w:r>
              <w:rPr>
                <w:rFonts w:hint="default" w:ascii="Times New Roman" w:hAnsi="Times New Roman" w:cs="Times New Roman"/>
                <w:b/>
                <w:bCs w:val="0"/>
                <w:color w:val="auto"/>
                <w:sz w:val="21"/>
                <w:szCs w:val="21"/>
              </w:rPr>
              <w:t>g/m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w:t>
            </w:r>
          </w:p>
        </w:tc>
      </w:tr>
      <w:tr w14:paraId="5B01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continue"/>
            <w:vAlign w:val="center"/>
          </w:tcPr>
          <w:p w14:paraId="550C53E3">
            <w:pPr>
              <w:spacing w:line="240" w:lineRule="auto"/>
              <w:jc w:val="center"/>
              <w:rPr>
                <w:rFonts w:hint="default" w:ascii="Times New Roman" w:hAnsi="Times New Roman" w:cs="Times New Roman"/>
                <w:b/>
                <w:bCs w:val="0"/>
                <w:color w:val="auto"/>
                <w:sz w:val="21"/>
                <w:szCs w:val="21"/>
              </w:rPr>
            </w:pPr>
          </w:p>
        </w:tc>
        <w:tc>
          <w:tcPr>
            <w:tcW w:w="601" w:type="pct"/>
            <w:vMerge w:val="continue"/>
            <w:vAlign w:val="center"/>
          </w:tcPr>
          <w:p w14:paraId="040FA313">
            <w:pPr>
              <w:spacing w:line="240" w:lineRule="auto"/>
              <w:jc w:val="center"/>
              <w:rPr>
                <w:rFonts w:hint="default" w:ascii="Times New Roman" w:hAnsi="Times New Roman" w:cs="Times New Roman"/>
                <w:b/>
                <w:bCs w:val="0"/>
                <w:color w:val="auto"/>
                <w:sz w:val="21"/>
                <w:szCs w:val="21"/>
                <w:lang w:val="en-US" w:eastAsia="zh-CN"/>
              </w:rPr>
            </w:pPr>
          </w:p>
        </w:tc>
        <w:tc>
          <w:tcPr>
            <w:tcW w:w="960" w:type="pct"/>
            <w:vAlign w:val="center"/>
          </w:tcPr>
          <w:p w14:paraId="52525597">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sz w:val="21"/>
                <w:szCs w:val="21"/>
                <w:lang w:eastAsia="zh-CN"/>
              </w:rPr>
              <w:t>厂界上风向（</w:t>
            </w:r>
            <w:r>
              <w:rPr>
                <w:rFonts w:hint="default" w:ascii="Times New Roman" w:hAnsi="Times New Roman" w:cs="Times New Roman"/>
                <w:b/>
                <w:bCs w:val="0"/>
                <w:sz w:val="21"/>
                <w:szCs w:val="21"/>
                <w:lang w:val="en-US" w:eastAsia="zh-CN"/>
              </w:rPr>
              <w:t>1#</w:t>
            </w:r>
            <w:r>
              <w:rPr>
                <w:rFonts w:hint="default" w:ascii="Times New Roman" w:hAnsi="Times New Roman" w:cs="Times New Roman"/>
                <w:b/>
                <w:bCs w:val="0"/>
                <w:sz w:val="21"/>
                <w:szCs w:val="21"/>
                <w:lang w:eastAsia="zh-CN"/>
              </w:rPr>
              <w:t>）</w:t>
            </w:r>
          </w:p>
        </w:tc>
        <w:tc>
          <w:tcPr>
            <w:tcW w:w="960" w:type="pct"/>
            <w:vAlign w:val="center"/>
          </w:tcPr>
          <w:p w14:paraId="407E8636">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sz w:val="21"/>
                <w:szCs w:val="21"/>
                <w:lang w:eastAsia="zh-CN"/>
              </w:rPr>
              <w:t>厂界下风向（</w:t>
            </w:r>
            <w:r>
              <w:rPr>
                <w:rFonts w:hint="default" w:ascii="Times New Roman" w:hAnsi="Times New Roman" w:cs="Times New Roman"/>
                <w:b/>
                <w:bCs w:val="0"/>
                <w:sz w:val="21"/>
                <w:szCs w:val="21"/>
                <w:lang w:val="en-US" w:eastAsia="zh-CN"/>
              </w:rPr>
              <w:t>2#</w:t>
            </w:r>
            <w:r>
              <w:rPr>
                <w:rFonts w:hint="default" w:ascii="Times New Roman" w:hAnsi="Times New Roman" w:cs="Times New Roman"/>
                <w:b/>
                <w:bCs w:val="0"/>
                <w:sz w:val="21"/>
                <w:szCs w:val="21"/>
                <w:lang w:eastAsia="zh-CN"/>
              </w:rPr>
              <w:t>）</w:t>
            </w:r>
          </w:p>
        </w:tc>
        <w:tc>
          <w:tcPr>
            <w:tcW w:w="960" w:type="pct"/>
            <w:vAlign w:val="center"/>
          </w:tcPr>
          <w:p w14:paraId="4E03282E">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sz w:val="21"/>
                <w:szCs w:val="21"/>
                <w:lang w:eastAsia="zh-CN"/>
              </w:rPr>
              <w:t>厂界下风向（</w:t>
            </w:r>
            <w:r>
              <w:rPr>
                <w:rFonts w:hint="default" w:ascii="Times New Roman" w:hAnsi="Times New Roman" w:cs="Times New Roman"/>
                <w:b/>
                <w:bCs w:val="0"/>
                <w:sz w:val="21"/>
                <w:szCs w:val="21"/>
                <w:lang w:val="en-US" w:eastAsia="zh-CN"/>
              </w:rPr>
              <w:t>3#</w:t>
            </w:r>
            <w:r>
              <w:rPr>
                <w:rFonts w:hint="default" w:ascii="Times New Roman" w:hAnsi="Times New Roman" w:cs="Times New Roman"/>
                <w:b/>
                <w:bCs w:val="0"/>
                <w:sz w:val="21"/>
                <w:szCs w:val="21"/>
                <w:lang w:eastAsia="zh-CN"/>
              </w:rPr>
              <w:t>）</w:t>
            </w:r>
          </w:p>
        </w:tc>
        <w:tc>
          <w:tcPr>
            <w:tcW w:w="1022" w:type="pct"/>
            <w:vAlign w:val="center"/>
          </w:tcPr>
          <w:p w14:paraId="69A5CFF2">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sz w:val="21"/>
                <w:szCs w:val="21"/>
                <w:lang w:eastAsia="zh-CN"/>
              </w:rPr>
              <w:t>厂界下风向（</w:t>
            </w:r>
            <w:r>
              <w:rPr>
                <w:rFonts w:hint="default" w:ascii="Times New Roman" w:hAnsi="Times New Roman" w:cs="Times New Roman"/>
                <w:b/>
                <w:bCs w:val="0"/>
                <w:sz w:val="21"/>
                <w:szCs w:val="21"/>
                <w:lang w:val="en-US" w:eastAsia="zh-CN"/>
              </w:rPr>
              <w:t>4#</w:t>
            </w:r>
            <w:r>
              <w:rPr>
                <w:rFonts w:hint="default" w:ascii="Times New Roman" w:hAnsi="Times New Roman" w:cs="Times New Roman"/>
                <w:b/>
                <w:bCs w:val="0"/>
                <w:sz w:val="21"/>
                <w:szCs w:val="21"/>
                <w:lang w:eastAsia="zh-CN"/>
              </w:rPr>
              <w:t>）</w:t>
            </w:r>
          </w:p>
        </w:tc>
      </w:tr>
      <w:tr w14:paraId="6F92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restart"/>
            <w:vAlign w:val="center"/>
          </w:tcPr>
          <w:p w14:paraId="5B60331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2024.11.25</w:t>
            </w:r>
          </w:p>
        </w:tc>
        <w:tc>
          <w:tcPr>
            <w:tcW w:w="601" w:type="pct"/>
            <w:vAlign w:val="center"/>
          </w:tcPr>
          <w:p w14:paraId="6438036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第一次</w:t>
            </w:r>
          </w:p>
        </w:tc>
        <w:tc>
          <w:tcPr>
            <w:tcW w:w="960" w:type="pct"/>
            <w:vAlign w:val="center"/>
          </w:tcPr>
          <w:p w14:paraId="52BF879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30.9</w:t>
            </w:r>
          </w:p>
        </w:tc>
        <w:tc>
          <w:tcPr>
            <w:tcW w:w="960" w:type="pct"/>
            <w:vAlign w:val="center"/>
          </w:tcPr>
          <w:p w14:paraId="6CA257D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69.7</w:t>
            </w:r>
          </w:p>
        </w:tc>
        <w:tc>
          <w:tcPr>
            <w:tcW w:w="960" w:type="pct"/>
            <w:vAlign w:val="center"/>
          </w:tcPr>
          <w:p w14:paraId="07DCD6C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94.3</w:t>
            </w:r>
          </w:p>
        </w:tc>
        <w:tc>
          <w:tcPr>
            <w:tcW w:w="1022" w:type="pct"/>
            <w:vAlign w:val="center"/>
          </w:tcPr>
          <w:p w14:paraId="784C817F">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105</w:t>
            </w:r>
          </w:p>
        </w:tc>
      </w:tr>
      <w:tr w14:paraId="2C72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continue"/>
            <w:vAlign w:val="center"/>
          </w:tcPr>
          <w:p w14:paraId="1DC8DEB9">
            <w:pPr>
              <w:jc w:val="center"/>
              <w:rPr>
                <w:rFonts w:hint="default" w:ascii="Times New Roman" w:hAnsi="Times New Roman" w:cs="Times New Roman"/>
                <w:color w:val="auto"/>
                <w:sz w:val="21"/>
                <w:szCs w:val="21"/>
              </w:rPr>
            </w:pPr>
          </w:p>
        </w:tc>
        <w:tc>
          <w:tcPr>
            <w:tcW w:w="601" w:type="pct"/>
            <w:vAlign w:val="center"/>
          </w:tcPr>
          <w:p w14:paraId="39EBDCD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第二次</w:t>
            </w:r>
          </w:p>
        </w:tc>
        <w:tc>
          <w:tcPr>
            <w:tcW w:w="960" w:type="pct"/>
            <w:vAlign w:val="center"/>
          </w:tcPr>
          <w:p w14:paraId="565EE53E">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42.1</w:t>
            </w:r>
          </w:p>
        </w:tc>
        <w:tc>
          <w:tcPr>
            <w:tcW w:w="960" w:type="pct"/>
            <w:vAlign w:val="center"/>
          </w:tcPr>
          <w:p w14:paraId="12778850">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90.1</w:t>
            </w:r>
          </w:p>
        </w:tc>
        <w:tc>
          <w:tcPr>
            <w:tcW w:w="960" w:type="pct"/>
            <w:vAlign w:val="center"/>
          </w:tcPr>
          <w:p w14:paraId="237ED1EF">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124</w:t>
            </w:r>
          </w:p>
        </w:tc>
        <w:tc>
          <w:tcPr>
            <w:tcW w:w="1022" w:type="pct"/>
            <w:vAlign w:val="center"/>
          </w:tcPr>
          <w:p w14:paraId="056590B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126</w:t>
            </w:r>
          </w:p>
        </w:tc>
      </w:tr>
      <w:tr w14:paraId="6349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continue"/>
            <w:vAlign w:val="center"/>
          </w:tcPr>
          <w:p w14:paraId="05C9F7A5">
            <w:pPr>
              <w:jc w:val="center"/>
              <w:rPr>
                <w:rFonts w:hint="default" w:ascii="Times New Roman" w:hAnsi="Times New Roman" w:cs="Times New Roman"/>
                <w:color w:val="auto"/>
                <w:sz w:val="21"/>
                <w:szCs w:val="21"/>
              </w:rPr>
            </w:pPr>
          </w:p>
        </w:tc>
        <w:tc>
          <w:tcPr>
            <w:tcW w:w="601" w:type="pct"/>
            <w:vAlign w:val="center"/>
          </w:tcPr>
          <w:p w14:paraId="3A049E3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第三次</w:t>
            </w:r>
          </w:p>
        </w:tc>
        <w:tc>
          <w:tcPr>
            <w:tcW w:w="960" w:type="pct"/>
            <w:vAlign w:val="center"/>
          </w:tcPr>
          <w:p w14:paraId="1CB2833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35.8</w:t>
            </w:r>
          </w:p>
        </w:tc>
        <w:tc>
          <w:tcPr>
            <w:tcW w:w="960" w:type="pct"/>
            <w:vAlign w:val="center"/>
          </w:tcPr>
          <w:p w14:paraId="0C6DBC2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81.7</w:t>
            </w:r>
          </w:p>
        </w:tc>
        <w:tc>
          <w:tcPr>
            <w:tcW w:w="960" w:type="pct"/>
            <w:vAlign w:val="center"/>
          </w:tcPr>
          <w:p w14:paraId="321ADA58">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113</w:t>
            </w:r>
          </w:p>
        </w:tc>
        <w:tc>
          <w:tcPr>
            <w:tcW w:w="1022" w:type="pct"/>
            <w:vAlign w:val="center"/>
          </w:tcPr>
          <w:p w14:paraId="2175D06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118</w:t>
            </w:r>
          </w:p>
        </w:tc>
      </w:tr>
      <w:tr w14:paraId="5D51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restart"/>
            <w:vAlign w:val="center"/>
          </w:tcPr>
          <w:p w14:paraId="6DD283C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2024.11.26</w:t>
            </w:r>
          </w:p>
        </w:tc>
        <w:tc>
          <w:tcPr>
            <w:tcW w:w="601" w:type="pct"/>
            <w:vAlign w:val="center"/>
          </w:tcPr>
          <w:p w14:paraId="7FF1B94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第一次</w:t>
            </w:r>
          </w:p>
        </w:tc>
        <w:tc>
          <w:tcPr>
            <w:tcW w:w="960" w:type="pct"/>
            <w:vAlign w:val="center"/>
          </w:tcPr>
          <w:p w14:paraId="33915BEC">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34.0</w:t>
            </w:r>
          </w:p>
        </w:tc>
        <w:tc>
          <w:tcPr>
            <w:tcW w:w="960" w:type="pct"/>
            <w:vAlign w:val="center"/>
          </w:tcPr>
          <w:p w14:paraId="382334D4">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81.3</w:t>
            </w:r>
          </w:p>
        </w:tc>
        <w:tc>
          <w:tcPr>
            <w:tcW w:w="960" w:type="pct"/>
            <w:vAlign w:val="center"/>
          </w:tcPr>
          <w:p w14:paraId="3FAFFA0A">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89.9</w:t>
            </w:r>
          </w:p>
        </w:tc>
        <w:tc>
          <w:tcPr>
            <w:tcW w:w="1022" w:type="pct"/>
            <w:vAlign w:val="center"/>
          </w:tcPr>
          <w:p w14:paraId="5D23AAD3">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108</w:t>
            </w:r>
          </w:p>
        </w:tc>
      </w:tr>
      <w:tr w14:paraId="127F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continue"/>
            <w:vAlign w:val="center"/>
          </w:tcPr>
          <w:p w14:paraId="017D07B8">
            <w:pPr>
              <w:jc w:val="center"/>
              <w:rPr>
                <w:rFonts w:hint="default" w:ascii="Times New Roman" w:hAnsi="Times New Roman" w:cs="Times New Roman"/>
                <w:color w:val="auto"/>
                <w:sz w:val="21"/>
                <w:szCs w:val="21"/>
              </w:rPr>
            </w:pPr>
          </w:p>
        </w:tc>
        <w:tc>
          <w:tcPr>
            <w:tcW w:w="601" w:type="pct"/>
            <w:vAlign w:val="center"/>
          </w:tcPr>
          <w:p w14:paraId="571F59E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第二次</w:t>
            </w:r>
          </w:p>
        </w:tc>
        <w:tc>
          <w:tcPr>
            <w:tcW w:w="960" w:type="pct"/>
            <w:vAlign w:val="center"/>
          </w:tcPr>
          <w:p w14:paraId="7D8E00C2">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51.7</w:t>
            </w:r>
          </w:p>
        </w:tc>
        <w:tc>
          <w:tcPr>
            <w:tcW w:w="960" w:type="pct"/>
            <w:vAlign w:val="center"/>
          </w:tcPr>
          <w:p w14:paraId="26A3BA2F">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105</w:t>
            </w:r>
          </w:p>
        </w:tc>
        <w:tc>
          <w:tcPr>
            <w:tcW w:w="960" w:type="pct"/>
            <w:vAlign w:val="center"/>
          </w:tcPr>
          <w:p w14:paraId="761128CF">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127</w:t>
            </w:r>
          </w:p>
        </w:tc>
        <w:tc>
          <w:tcPr>
            <w:tcW w:w="1022" w:type="pct"/>
            <w:vAlign w:val="center"/>
          </w:tcPr>
          <w:p w14:paraId="57C72A0E">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134</w:t>
            </w:r>
          </w:p>
        </w:tc>
      </w:tr>
      <w:tr w14:paraId="02B3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pct"/>
            <w:vMerge w:val="continue"/>
            <w:vAlign w:val="center"/>
          </w:tcPr>
          <w:p w14:paraId="732DC3F2">
            <w:pPr>
              <w:jc w:val="center"/>
              <w:rPr>
                <w:rFonts w:hint="default" w:ascii="Times New Roman" w:hAnsi="Times New Roman" w:cs="Times New Roman"/>
                <w:color w:val="auto"/>
                <w:sz w:val="21"/>
                <w:szCs w:val="21"/>
              </w:rPr>
            </w:pPr>
          </w:p>
        </w:tc>
        <w:tc>
          <w:tcPr>
            <w:tcW w:w="601" w:type="pct"/>
            <w:vAlign w:val="center"/>
          </w:tcPr>
          <w:p w14:paraId="683F39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第三次</w:t>
            </w:r>
          </w:p>
        </w:tc>
        <w:tc>
          <w:tcPr>
            <w:tcW w:w="960" w:type="pct"/>
            <w:vAlign w:val="center"/>
          </w:tcPr>
          <w:p w14:paraId="3F85B054">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42.9</w:t>
            </w:r>
          </w:p>
        </w:tc>
        <w:tc>
          <w:tcPr>
            <w:tcW w:w="960" w:type="pct"/>
            <w:vAlign w:val="center"/>
          </w:tcPr>
          <w:p w14:paraId="1EC8C908">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80.3</w:t>
            </w:r>
          </w:p>
        </w:tc>
        <w:tc>
          <w:tcPr>
            <w:tcW w:w="960" w:type="pct"/>
            <w:vAlign w:val="center"/>
          </w:tcPr>
          <w:p w14:paraId="1C116B9C">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97.0</w:t>
            </w:r>
          </w:p>
        </w:tc>
        <w:tc>
          <w:tcPr>
            <w:tcW w:w="1022" w:type="pct"/>
            <w:vAlign w:val="center"/>
          </w:tcPr>
          <w:p w14:paraId="15536F34">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117</w:t>
            </w:r>
          </w:p>
        </w:tc>
      </w:tr>
    </w:tbl>
    <w:p w14:paraId="6B257B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cs="Times New Roman"/>
          <w:color w:val="000000"/>
          <w:sz w:val="21"/>
          <w:szCs w:val="21"/>
          <w:lang w:val="en-US" w:eastAsia="zh-CN"/>
        </w:rPr>
        <w:t>根据监测结果</w:t>
      </w:r>
      <w:r>
        <w:rPr>
          <w:rFonts w:hint="default" w:ascii="Times New Roman" w:hAnsi="Times New Roman" w:cs="Times New Roman"/>
          <w:color w:val="000000"/>
          <w:sz w:val="21"/>
          <w:szCs w:val="21"/>
          <w:lang w:val="en-US" w:eastAsia="zh-CN"/>
        </w:rPr>
        <w:t>厂界VOCs最大值浓</w:t>
      </w:r>
      <w:r>
        <w:rPr>
          <w:rFonts w:hint="eastAsia" w:cs="Times New Roman"/>
          <w:color w:val="000000"/>
          <w:sz w:val="21"/>
          <w:szCs w:val="21"/>
          <w:lang w:val="en-US" w:eastAsia="zh-CN"/>
        </w:rPr>
        <w:t>度为</w:t>
      </w:r>
      <w:r>
        <w:rPr>
          <w:rFonts w:hint="eastAsia" w:ascii="Times New Roman" w:hAnsi="Times New Roman" w:eastAsia="宋体" w:cs="Times New Roman"/>
          <w:color w:val="000000"/>
          <w:sz w:val="21"/>
          <w:szCs w:val="21"/>
          <w:lang w:val="en-US" w:eastAsia="zh-CN"/>
        </w:rPr>
        <w:t>134</w:t>
      </w:r>
      <w:r>
        <w:rPr>
          <w:rFonts w:hint="default" w:ascii="Times New Roman" w:hAnsi="Times New Roman" w:eastAsia="宋体" w:cs="Times New Roman"/>
          <w:color w:val="000000"/>
          <w:sz w:val="21"/>
          <w:szCs w:val="21"/>
          <w:lang w:val="en-US" w:eastAsia="zh-CN"/>
        </w:rPr>
        <w:t>μg/m</w:t>
      </w:r>
      <w:r>
        <w:rPr>
          <w:rFonts w:hint="default"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，满足</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挥发性有机物排放标准第7部分：其他行业》（DB37/2801.7-2019）表2厂界监控点浓度限值要求（2.0mg/m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）和《挥发性有机物排放标准第6部分：有机化工》（DB37/2801.6-2018）表3厂界监控点浓度限值要求（2.0mg/m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t>
      </w:r>
    </w:p>
    <w:p w14:paraId="04676EA2">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9.2.1.3厂界噪声</w:t>
      </w:r>
    </w:p>
    <w:p w14:paraId="58FE2033">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该项目的厂界噪声监测数据见表9-</w:t>
      </w:r>
      <w:r>
        <w:rPr>
          <w:rFonts w:hint="eastAsia" w:cs="Times New Roman"/>
          <w:color w:val="000000"/>
          <w:sz w:val="24"/>
          <w:szCs w:val="28"/>
          <w:lang w:val="en-US" w:eastAsia="zh-CN"/>
        </w:rPr>
        <w:t>6</w:t>
      </w:r>
      <w:r>
        <w:rPr>
          <w:rFonts w:hint="default" w:ascii="Times New Roman" w:hAnsi="Times New Roman" w:cs="Times New Roman"/>
          <w:color w:val="000000"/>
          <w:sz w:val="24"/>
          <w:szCs w:val="28"/>
        </w:rPr>
        <w:t>：</w:t>
      </w:r>
    </w:p>
    <w:p w14:paraId="3BE782AE">
      <w:pPr>
        <w:pStyle w:val="3"/>
        <w:spacing w:after="0" w:line="240" w:lineRule="auto"/>
        <w:ind w:left="0"/>
        <w:jc w:val="center"/>
        <w:rPr>
          <w:rFonts w:hint="default" w:ascii="Times New Roman" w:hAnsi="Times New Roman" w:cs="Times New Roman"/>
          <w:b/>
          <w:sz w:val="22"/>
          <w:szCs w:val="24"/>
        </w:rPr>
      </w:pPr>
      <w:r>
        <w:rPr>
          <w:rFonts w:hint="default" w:ascii="Times New Roman" w:hAnsi="Times New Roman" w:cs="Times New Roman"/>
          <w:b/>
          <w:sz w:val="22"/>
          <w:szCs w:val="24"/>
        </w:rPr>
        <w:t>表9-</w:t>
      </w:r>
      <w:r>
        <w:rPr>
          <w:rFonts w:hint="eastAsia" w:cs="Times New Roman"/>
          <w:b/>
          <w:sz w:val="22"/>
          <w:szCs w:val="24"/>
          <w:lang w:val="en-US" w:eastAsia="zh-CN"/>
        </w:rPr>
        <w:t>6</w:t>
      </w:r>
      <w:r>
        <w:rPr>
          <w:rFonts w:hint="default" w:ascii="Times New Roman" w:hAnsi="Times New Roman" w:cs="Times New Roman"/>
          <w:b/>
          <w:sz w:val="22"/>
          <w:szCs w:val="24"/>
        </w:rPr>
        <w:t xml:space="preserve">  噪声监测结果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787"/>
        <w:gridCol w:w="1571"/>
        <w:gridCol w:w="1410"/>
        <w:gridCol w:w="1410"/>
        <w:gridCol w:w="1410"/>
        <w:gridCol w:w="1421"/>
      </w:tblGrid>
      <w:tr w14:paraId="1BB1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restart"/>
            <w:vAlign w:val="center"/>
          </w:tcPr>
          <w:p w14:paraId="34A170DC">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检测</w:t>
            </w:r>
            <w:r>
              <w:rPr>
                <w:rFonts w:hint="default" w:ascii="Times New Roman" w:hAnsi="Times New Roman" w:cs="Times New Roman"/>
                <w:bCs/>
                <w:color w:val="auto"/>
                <w:szCs w:val="21"/>
              </w:rPr>
              <w:t>日期</w:t>
            </w:r>
          </w:p>
        </w:tc>
        <w:tc>
          <w:tcPr>
            <w:tcW w:w="424" w:type="pct"/>
            <w:vMerge w:val="restart"/>
            <w:vAlign w:val="center"/>
          </w:tcPr>
          <w:p w14:paraId="73ACD12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点位</w:t>
            </w:r>
          </w:p>
          <w:p w14:paraId="2B00F778">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编号</w:t>
            </w:r>
          </w:p>
        </w:tc>
        <w:tc>
          <w:tcPr>
            <w:tcW w:w="846" w:type="pct"/>
            <w:vMerge w:val="restart"/>
            <w:vAlign w:val="center"/>
          </w:tcPr>
          <w:p w14:paraId="217A419B">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检测点位</w:t>
            </w:r>
          </w:p>
        </w:tc>
        <w:tc>
          <w:tcPr>
            <w:tcW w:w="3042" w:type="pct"/>
            <w:gridSpan w:val="4"/>
            <w:vAlign w:val="center"/>
          </w:tcPr>
          <w:p w14:paraId="7CCE2834">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检测结果Leq（A）</w:t>
            </w:r>
          </w:p>
        </w:tc>
      </w:tr>
      <w:tr w14:paraId="71BE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continue"/>
            <w:vAlign w:val="center"/>
          </w:tcPr>
          <w:p w14:paraId="4722FC7B">
            <w:pPr>
              <w:jc w:val="center"/>
              <w:rPr>
                <w:rFonts w:hint="default" w:ascii="Times New Roman" w:hAnsi="Times New Roman" w:cs="Times New Roman"/>
                <w:bCs/>
                <w:color w:val="auto"/>
                <w:szCs w:val="21"/>
              </w:rPr>
            </w:pPr>
          </w:p>
        </w:tc>
        <w:tc>
          <w:tcPr>
            <w:tcW w:w="424" w:type="pct"/>
            <w:vMerge w:val="continue"/>
            <w:vAlign w:val="center"/>
          </w:tcPr>
          <w:p w14:paraId="3AB2279A">
            <w:pPr>
              <w:jc w:val="center"/>
              <w:rPr>
                <w:rFonts w:hint="default" w:ascii="Times New Roman" w:hAnsi="Times New Roman" w:cs="Times New Roman"/>
                <w:bCs/>
                <w:color w:val="auto"/>
                <w:szCs w:val="21"/>
              </w:rPr>
            </w:pPr>
          </w:p>
        </w:tc>
        <w:tc>
          <w:tcPr>
            <w:tcW w:w="846" w:type="pct"/>
            <w:vMerge w:val="continue"/>
            <w:vAlign w:val="center"/>
          </w:tcPr>
          <w:p w14:paraId="6C37CCA5">
            <w:pPr>
              <w:jc w:val="center"/>
              <w:rPr>
                <w:rFonts w:hint="default" w:ascii="Times New Roman" w:hAnsi="Times New Roman" w:cs="Times New Roman"/>
                <w:bCs/>
                <w:color w:val="auto"/>
                <w:szCs w:val="21"/>
              </w:rPr>
            </w:pPr>
          </w:p>
        </w:tc>
        <w:tc>
          <w:tcPr>
            <w:tcW w:w="759" w:type="pct"/>
            <w:vAlign w:val="center"/>
          </w:tcPr>
          <w:p w14:paraId="12EF0E8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昼间</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dB</w:t>
            </w:r>
            <w:r>
              <w:rPr>
                <w:rFonts w:hint="default" w:ascii="Times New Roman" w:hAnsi="Times New Roman" w:cs="Times New Roman"/>
                <w:bCs/>
                <w:color w:val="auto"/>
                <w:szCs w:val="21"/>
                <w:lang w:eastAsia="zh-CN"/>
              </w:rPr>
              <w:t>）</w:t>
            </w:r>
          </w:p>
        </w:tc>
        <w:tc>
          <w:tcPr>
            <w:tcW w:w="759" w:type="pct"/>
            <w:vAlign w:val="center"/>
          </w:tcPr>
          <w:p w14:paraId="3EFFE490">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风速（m/s）</w:t>
            </w:r>
          </w:p>
        </w:tc>
        <w:tc>
          <w:tcPr>
            <w:tcW w:w="759" w:type="pct"/>
            <w:shd w:val="clear" w:color="auto" w:fill="auto"/>
            <w:vAlign w:val="center"/>
          </w:tcPr>
          <w:p w14:paraId="05598793">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eastAsia="zh-CN"/>
              </w:rPr>
              <w:t>夜</w:t>
            </w:r>
            <w:r>
              <w:rPr>
                <w:rFonts w:hint="default" w:ascii="Times New Roman" w:hAnsi="Times New Roman" w:cs="Times New Roman"/>
                <w:bCs/>
                <w:color w:val="auto"/>
                <w:szCs w:val="21"/>
              </w:rPr>
              <w:t>间</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dB</w:t>
            </w:r>
            <w:r>
              <w:rPr>
                <w:rFonts w:hint="default" w:ascii="Times New Roman" w:hAnsi="Times New Roman" w:cs="Times New Roman"/>
                <w:bCs/>
                <w:color w:val="auto"/>
                <w:szCs w:val="21"/>
                <w:lang w:eastAsia="zh-CN"/>
              </w:rPr>
              <w:t>）</w:t>
            </w:r>
          </w:p>
        </w:tc>
        <w:tc>
          <w:tcPr>
            <w:tcW w:w="762" w:type="pct"/>
            <w:shd w:val="clear" w:color="auto" w:fill="auto"/>
            <w:vAlign w:val="center"/>
          </w:tcPr>
          <w:p w14:paraId="6FB0776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风速（m/s）</w:t>
            </w:r>
          </w:p>
        </w:tc>
      </w:tr>
      <w:tr w14:paraId="5457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restart"/>
            <w:vAlign w:val="center"/>
          </w:tcPr>
          <w:p w14:paraId="15AE57A2">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kern w:val="2"/>
                <w:sz w:val="21"/>
                <w:szCs w:val="21"/>
                <w:lang w:val="en-US" w:eastAsia="zh-CN" w:bidi="ar-SA"/>
              </w:rPr>
              <w:t>2024.11.25</w:t>
            </w:r>
          </w:p>
        </w:tc>
        <w:tc>
          <w:tcPr>
            <w:tcW w:w="424" w:type="pct"/>
            <w:shd w:val="clear" w:color="auto" w:fill="auto"/>
            <w:vAlign w:val="center"/>
          </w:tcPr>
          <w:p w14:paraId="6105F2D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2</w:t>
            </w:r>
            <w:r>
              <w:rPr>
                <w:rFonts w:hint="default" w:ascii="Times New Roman" w:hAnsi="Times New Roman" w:cs="Times New Roman"/>
                <w:color w:val="auto"/>
                <w:szCs w:val="21"/>
              </w:rPr>
              <w:t>#</w:t>
            </w:r>
          </w:p>
        </w:tc>
        <w:tc>
          <w:tcPr>
            <w:tcW w:w="846" w:type="pct"/>
            <w:shd w:val="clear" w:color="auto" w:fill="auto"/>
            <w:vAlign w:val="center"/>
          </w:tcPr>
          <w:p w14:paraId="5C2A9B8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南厂界外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0B793F43">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58.2</w:t>
            </w:r>
          </w:p>
        </w:tc>
        <w:tc>
          <w:tcPr>
            <w:tcW w:w="759" w:type="pct"/>
            <w:vAlign w:val="center"/>
          </w:tcPr>
          <w:p w14:paraId="5483D349">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1.6</w:t>
            </w:r>
          </w:p>
        </w:tc>
        <w:tc>
          <w:tcPr>
            <w:tcW w:w="759" w:type="pct"/>
            <w:vAlign w:val="center"/>
          </w:tcPr>
          <w:p w14:paraId="319A0236">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48.0</w:t>
            </w:r>
          </w:p>
        </w:tc>
        <w:tc>
          <w:tcPr>
            <w:tcW w:w="762" w:type="pct"/>
            <w:vAlign w:val="center"/>
          </w:tcPr>
          <w:p w14:paraId="13C98BC3">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1.8</w:t>
            </w:r>
          </w:p>
        </w:tc>
      </w:tr>
      <w:tr w14:paraId="75C2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continue"/>
            <w:vAlign w:val="center"/>
          </w:tcPr>
          <w:p w14:paraId="591B1E4C">
            <w:pPr>
              <w:jc w:val="center"/>
              <w:rPr>
                <w:rFonts w:hint="default" w:ascii="Times New Roman" w:hAnsi="Times New Roman" w:cs="Times New Roman"/>
                <w:bCs/>
                <w:color w:val="auto"/>
                <w:szCs w:val="21"/>
              </w:rPr>
            </w:pPr>
          </w:p>
        </w:tc>
        <w:tc>
          <w:tcPr>
            <w:tcW w:w="424" w:type="pct"/>
            <w:shd w:val="clear" w:color="auto" w:fill="auto"/>
            <w:vAlign w:val="center"/>
          </w:tcPr>
          <w:p w14:paraId="0957C5C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3#</w:t>
            </w:r>
          </w:p>
        </w:tc>
        <w:tc>
          <w:tcPr>
            <w:tcW w:w="846" w:type="pct"/>
            <w:shd w:val="clear" w:color="auto" w:fill="auto"/>
            <w:vAlign w:val="center"/>
          </w:tcPr>
          <w:p w14:paraId="0AFB2B5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西厂界外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0B39C3E9">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56.9</w:t>
            </w:r>
          </w:p>
        </w:tc>
        <w:tc>
          <w:tcPr>
            <w:tcW w:w="759" w:type="pct"/>
            <w:vAlign w:val="center"/>
          </w:tcPr>
          <w:p w14:paraId="03905460">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1.6</w:t>
            </w:r>
          </w:p>
        </w:tc>
        <w:tc>
          <w:tcPr>
            <w:tcW w:w="759" w:type="pct"/>
            <w:vAlign w:val="center"/>
          </w:tcPr>
          <w:p w14:paraId="4F192AF0">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47.9</w:t>
            </w:r>
          </w:p>
        </w:tc>
        <w:tc>
          <w:tcPr>
            <w:tcW w:w="762" w:type="pct"/>
            <w:vAlign w:val="center"/>
          </w:tcPr>
          <w:p w14:paraId="223F5E66">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1.8</w:t>
            </w:r>
          </w:p>
        </w:tc>
      </w:tr>
      <w:tr w14:paraId="7999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continue"/>
            <w:vAlign w:val="center"/>
          </w:tcPr>
          <w:p w14:paraId="6976FB1E">
            <w:pPr>
              <w:jc w:val="center"/>
              <w:rPr>
                <w:rFonts w:hint="default" w:ascii="Times New Roman" w:hAnsi="Times New Roman" w:cs="Times New Roman"/>
                <w:bCs/>
                <w:color w:val="auto"/>
                <w:szCs w:val="21"/>
              </w:rPr>
            </w:pPr>
          </w:p>
        </w:tc>
        <w:tc>
          <w:tcPr>
            <w:tcW w:w="424" w:type="pct"/>
            <w:shd w:val="clear" w:color="auto" w:fill="auto"/>
            <w:vAlign w:val="center"/>
          </w:tcPr>
          <w:p w14:paraId="278F36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4#</w:t>
            </w:r>
          </w:p>
        </w:tc>
        <w:tc>
          <w:tcPr>
            <w:tcW w:w="846" w:type="pct"/>
            <w:shd w:val="clear" w:color="auto" w:fill="auto"/>
            <w:vAlign w:val="center"/>
          </w:tcPr>
          <w:p w14:paraId="5718BFB4">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北厂界外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3206C814">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57.7</w:t>
            </w:r>
          </w:p>
        </w:tc>
        <w:tc>
          <w:tcPr>
            <w:tcW w:w="759" w:type="pct"/>
            <w:vAlign w:val="center"/>
          </w:tcPr>
          <w:p w14:paraId="5E9B8296">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1.6</w:t>
            </w:r>
          </w:p>
        </w:tc>
        <w:tc>
          <w:tcPr>
            <w:tcW w:w="759" w:type="pct"/>
            <w:vAlign w:val="center"/>
          </w:tcPr>
          <w:p w14:paraId="0DB218A9">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47.3</w:t>
            </w:r>
          </w:p>
        </w:tc>
        <w:tc>
          <w:tcPr>
            <w:tcW w:w="762" w:type="pct"/>
            <w:vAlign w:val="center"/>
          </w:tcPr>
          <w:p w14:paraId="7ACD79F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1.8</w:t>
            </w:r>
          </w:p>
        </w:tc>
      </w:tr>
      <w:tr w14:paraId="6BEF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restart"/>
            <w:vAlign w:val="center"/>
          </w:tcPr>
          <w:p w14:paraId="1E942402">
            <w:pPr>
              <w:jc w:val="center"/>
              <w:rPr>
                <w:rFonts w:hint="default" w:ascii="Times New Roman" w:hAnsi="Times New Roman" w:cs="Times New Roman"/>
                <w:bCs/>
                <w:color w:val="auto"/>
                <w:szCs w:val="21"/>
                <w:lang w:val="en-US"/>
              </w:rPr>
            </w:pPr>
            <w:r>
              <w:rPr>
                <w:rFonts w:hint="default" w:ascii="Times New Roman" w:hAnsi="Times New Roman" w:cs="Times New Roman"/>
                <w:color w:val="auto"/>
                <w:lang w:val="en-US" w:eastAsia="zh-CN"/>
              </w:rPr>
              <w:t>2024.11.26</w:t>
            </w:r>
          </w:p>
        </w:tc>
        <w:tc>
          <w:tcPr>
            <w:tcW w:w="424" w:type="pct"/>
            <w:shd w:val="clear" w:color="auto" w:fill="auto"/>
            <w:vAlign w:val="center"/>
          </w:tcPr>
          <w:p w14:paraId="08B16BE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2</w:t>
            </w:r>
            <w:r>
              <w:rPr>
                <w:rFonts w:hint="default" w:ascii="Times New Roman" w:hAnsi="Times New Roman" w:cs="Times New Roman"/>
                <w:color w:val="auto"/>
                <w:szCs w:val="21"/>
              </w:rPr>
              <w:t>#</w:t>
            </w:r>
          </w:p>
        </w:tc>
        <w:tc>
          <w:tcPr>
            <w:tcW w:w="846" w:type="pct"/>
            <w:shd w:val="clear" w:color="auto" w:fill="auto"/>
            <w:vAlign w:val="center"/>
          </w:tcPr>
          <w:p w14:paraId="3348534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南厂界外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087D7667">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55.8</w:t>
            </w:r>
          </w:p>
        </w:tc>
        <w:tc>
          <w:tcPr>
            <w:tcW w:w="759" w:type="pct"/>
            <w:vAlign w:val="center"/>
          </w:tcPr>
          <w:p w14:paraId="3D3E9470">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1.5</w:t>
            </w:r>
          </w:p>
        </w:tc>
        <w:tc>
          <w:tcPr>
            <w:tcW w:w="759" w:type="pct"/>
            <w:vAlign w:val="center"/>
          </w:tcPr>
          <w:p w14:paraId="11D665DB">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45.9</w:t>
            </w:r>
          </w:p>
        </w:tc>
        <w:tc>
          <w:tcPr>
            <w:tcW w:w="762" w:type="pct"/>
            <w:vAlign w:val="center"/>
          </w:tcPr>
          <w:p w14:paraId="3471169E">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1.7</w:t>
            </w:r>
          </w:p>
        </w:tc>
      </w:tr>
      <w:tr w14:paraId="6AB9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continue"/>
            <w:vAlign w:val="center"/>
          </w:tcPr>
          <w:p w14:paraId="076C1E63">
            <w:pPr>
              <w:jc w:val="center"/>
              <w:rPr>
                <w:rFonts w:hint="default" w:ascii="Times New Roman" w:hAnsi="Times New Roman" w:cs="Times New Roman"/>
                <w:bCs/>
                <w:color w:val="auto"/>
                <w:szCs w:val="21"/>
              </w:rPr>
            </w:pPr>
          </w:p>
        </w:tc>
        <w:tc>
          <w:tcPr>
            <w:tcW w:w="424" w:type="pct"/>
            <w:shd w:val="clear" w:color="auto" w:fill="auto"/>
            <w:vAlign w:val="center"/>
          </w:tcPr>
          <w:p w14:paraId="52AF54E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3#</w:t>
            </w:r>
          </w:p>
        </w:tc>
        <w:tc>
          <w:tcPr>
            <w:tcW w:w="846" w:type="pct"/>
            <w:shd w:val="clear" w:color="auto" w:fill="auto"/>
            <w:vAlign w:val="center"/>
          </w:tcPr>
          <w:p w14:paraId="76E4C3AE">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西厂界外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3BDF2B8A">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56.0</w:t>
            </w:r>
          </w:p>
        </w:tc>
        <w:tc>
          <w:tcPr>
            <w:tcW w:w="759" w:type="pct"/>
            <w:vAlign w:val="center"/>
          </w:tcPr>
          <w:p w14:paraId="4DC5B985">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1.5</w:t>
            </w:r>
          </w:p>
        </w:tc>
        <w:tc>
          <w:tcPr>
            <w:tcW w:w="759" w:type="pct"/>
            <w:vAlign w:val="center"/>
          </w:tcPr>
          <w:p w14:paraId="25A367E1">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48.0</w:t>
            </w:r>
          </w:p>
        </w:tc>
        <w:tc>
          <w:tcPr>
            <w:tcW w:w="762" w:type="pct"/>
            <w:vAlign w:val="center"/>
          </w:tcPr>
          <w:p w14:paraId="3F0767F5">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1.7</w:t>
            </w:r>
          </w:p>
        </w:tc>
      </w:tr>
      <w:tr w14:paraId="00BD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pct"/>
            <w:vMerge w:val="continue"/>
            <w:vAlign w:val="center"/>
          </w:tcPr>
          <w:p w14:paraId="2DE12F26">
            <w:pPr>
              <w:jc w:val="center"/>
              <w:rPr>
                <w:rFonts w:hint="default" w:ascii="Times New Roman" w:hAnsi="Times New Roman" w:cs="Times New Roman"/>
                <w:bCs/>
                <w:color w:val="auto"/>
                <w:szCs w:val="21"/>
              </w:rPr>
            </w:pPr>
          </w:p>
        </w:tc>
        <w:tc>
          <w:tcPr>
            <w:tcW w:w="424" w:type="pct"/>
            <w:shd w:val="clear" w:color="auto" w:fill="auto"/>
            <w:vAlign w:val="center"/>
          </w:tcPr>
          <w:p w14:paraId="3693092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rPr>
              <w:t>4#</w:t>
            </w:r>
          </w:p>
        </w:tc>
        <w:tc>
          <w:tcPr>
            <w:tcW w:w="846" w:type="pct"/>
            <w:shd w:val="clear" w:color="auto" w:fill="auto"/>
            <w:vAlign w:val="center"/>
          </w:tcPr>
          <w:p w14:paraId="5C89FDF1">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北厂界外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1m</w:t>
            </w:r>
          </w:p>
        </w:tc>
        <w:tc>
          <w:tcPr>
            <w:tcW w:w="759" w:type="pct"/>
            <w:vAlign w:val="center"/>
          </w:tcPr>
          <w:p w14:paraId="4C6F9F5D">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55.4</w:t>
            </w:r>
          </w:p>
        </w:tc>
        <w:tc>
          <w:tcPr>
            <w:tcW w:w="759" w:type="pct"/>
            <w:vAlign w:val="center"/>
          </w:tcPr>
          <w:p w14:paraId="2DB5B31A">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1.5</w:t>
            </w:r>
          </w:p>
        </w:tc>
        <w:tc>
          <w:tcPr>
            <w:tcW w:w="759" w:type="pct"/>
            <w:vAlign w:val="center"/>
          </w:tcPr>
          <w:p w14:paraId="2FBEA637">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48.6</w:t>
            </w:r>
          </w:p>
        </w:tc>
        <w:tc>
          <w:tcPr>
            <w:tcW w:w="762" w:type="pct"/>
            <w:vAlign w:val="center"/>
          </w:tcPr>
          <w:p w14:paraId="1AAA8080">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1.7</w:t>
            </w:r>
          </w:p>
        </w:tc>
      </w:tr>
    </w:tbl>
    <w:p w14:paraId="2B7F4215">
      <w:pPr>
        <w:pStyle w:val="3"/>
        <w:spacing w:after="0" w:line="360" w:lineRule="auto"/>
        <w:ind w:left="0" w:firstLine="422" w:firstLineChars="200"/>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注：厂界东侧不具备检测条件</w:t>
      </w:r>
    </w:p>
    <w:p w14:paraId="71F601E7">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根据现场监测期间监测结果：厂界</w:t>
      </w:r>
      <w:r>
        <w:rPr>
          <w:rFonts w:hint="eastAsia" w:cs="Times New Roman"/>
          <w:color w:val="000000"/>
          <w:sz w:val="24"/>
          <w:szCs w:val="28"/>
          <w:lang w:val="en-US" w:eastAsia="zh-CN"/>
        </w:rPr>
        <w:t>3</w:t>
      </w:r>
      <w:r>
        <w:rPr>
          <w:rFonts w:hint="default" w:ascii="Times New Roman" w:hAnsi="Times New Roman" w:cs="Times New Roman"/>
          <w:color w:val="000000"/>
          <w:sz w:val="24"/>
          <w:szCs w:val="28"/>
        </w:rPr>
        <w:t>个噪声监测点，</w:t>
      </w:r>
      <w:bookmarkStart w:id="65" w:name="_Hlk47977373"/>
      <w:r>
        <w:rPr>
          <w:rFonts w:hint="default" w:ascii="Times New Roman" w:hAnsi="Times New Roman" w:cs="Times New Roman"/>
          <w:kern w:val="0"/>
          <w:sz w:val="24"/>
          <w:szCs w:val="21"/>
        </w:rPr>
        <w:t>昼间噪声值范围为</w:t>
      </w:r>
      <w:r>
        <w:rPr>
          <w:rFonts w:hint="eastAsia" w:cs="Times New Roman"/>
          <w:kern w:val="0"/>
          <w:sz w:val="24"/>
          <w:szCs w:val="21"/>
          <w:lang w:val="en-US" w:eastAsia="zh-CN"/>
        </w:rPr>
        <w:t>55.4</w:t>
      </w:r>
      <w:r>
        <w:rPr>
          <w:rFonts w:hint="default" w:ascii="Times New Roman" w:hAnsi="Times New Roman" w:cs="Times New Roman"/>
          <w:kern w:val="0"/>
          <w:sz w:val="24"/>
          <w:szCs w:val="21"/>
        </w:rPr>
        <w:t>～</w:t>
      </w:r>
      <w:r>
        <w:rPr>
          <w:rFonts w:hint="eastAsia" w:cs="Times New Roman"/>
          <w:kern w:val="0"/>
          <w:sz w:val="24"/>
          <w:szCs w:val="21"/>
          <w:lang w:val="en-US" w:eastAsia="zh-CN"/>
        </w:rPr>
        <w:t>58.2</w:t>
      </w:r>
      <w:r>
        <w:rPr>
          <w:rFonts w:hint="default" w:ascii="Times New Roman" w:hAnsi="Times New Roman" w:cs="Times New Roman"/>
          <w:kern w:val="0"/>
          <w:sz w:val="24"/>
          <w:szCs w:val="21"/>
        </w:rPr>
        <w:t>dB(A)，</w:t>
      </w:r>
      <w:r>
        <w:rPr>
          <w:rFonts w:hint="eastAsia" w:cs="Times New Roman"/>
          <w:kern w:val="0"/>
          <w:sz w:val="24"/>
          <w:szCs w:val="21"/>
          <w:lang w:val="en-US" w:eastAsia="zh-CN"/>
        </w:rPr>
        <w:t>夜间噪声范围为45.9~48.6</w:t>
      </w:r>
      <w:r>
        <w:rPr>
          <w:rFonts w:hint="default" w:ascii="Times New Roman" w:hAnsi="Times New Roman" w:cs="Times New Roman"/>
          <w:kern w:val="0"/>
          <w:sz w:val="24"/>
          <w:szCs w:val="21"/>
        </w:rPr>
        <w:t>dB(A)检测结果</w:t>
      </w:r>
      <w:r>
        <w:rPr>
          <w:rFonts w:hint="default" w:ascii="Times New Roman" w:hAnsi="Times New Roman" w:cs="Times New Roman"/>
          <w:kern w:val="0"/>
          <w:sz w:val="24"/>
          <w:szCs w:val="21"/>
          <w:lang w:val="en-US" w:eastAsia="zh-CN"/>
        </w:rPr>
        <w:t>满足</w:t>
      </w:r>
      <w:r>
        <w:rPr>
          <w:rFonts w:hint="default" w:ascii="Times New Roman" w:hAnsi="Times New Roman" w:cs="Times New Roman"/>
          <w:kern w:val="0"/>
          <w:sz w:val="24"/>
          <w:szCs w:val="21"/>
        </w:rPr>
        <w:t>《工业企业厂界环境噪声排放标准》(GB12348-2008)中</w:t>
      </w:r>
      <w:r>
        <w:rPr>
          <w:rFonts w:hint="eastAsia" w:cs="Times New Roman"/>
          <w:kern w:val="0"/>
          <w:sz w:val="24"/>
          <w:szCs w:val="21"/>
          <w:lang w:val="en-US" w:eastAsia="zh-CN"/>
        </w:rPr>
        <w:t>3</w:t>
      </w:r>
      <w:r>
        <w:rPr>
          <w:rFonts w:hint="default" w:ascii="Times New Roman" w:hAnsi="Times New Roman" w:cs="Times New Roman"/>
          <w:kern w:val="0"/>
          <w:sz w:val="24"/>
          <w:szCs w:val="21"/>
        </w:rPr>
        <w:t>类标准限值要求。</w:t>
      </w:r>
    </w:p>
    <w:bookmarkEnd w:id="65"/>
    <w:p w14:paraId="049C8BC8">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9.2.1.4固（液）体废物</w:t>
      </w:r>
    </w:p>
    <w:p w14:paraId="2CAE3132">
      <w:pPr>
        <w:autoSpaceDE w:val="0"/>
        <w:autoSpaceDN w:val="0"/>
        <w:adjustRightInd w:val="0"/>
        <w:spacing w:line="348" w:lineRule="auto"/>
        <w:ind w:firstLine="477" w:firstLineChars="199"/>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本项目产生的固废主要有废反渗透膜、防结块液废桶、防结块粉包装袋等，本项目产生的废反渗透膜由环卫部门定期清运，防结块液废桶厂界回收利用，防结块包装袋外售综合利用。本项目产生的各项固废均有明确的去向，处置合理，不会对环境造成二次污染。</w:t>
      </w:r>
    </w:p>
    <w:p w14:paraId="1D39536C">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9.2.2环保设施去除效率监测结果</w:t>
      </w:r>
    </w:p>
    <w:p w14:paraId="2054657F">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9.2.2.1废水治理设施</w:t>
      </w:r>
    </w:p>
    <w:p w14:paraId="048AB944">
      <w:pPr>
        <w:pStyle w:val="50"/>
        <w:spacing w:line="360" w:lineRule="auto"/>
        <w:ind w:firstLine="480" w:firstLineChars="200"/>
        <w:jc w:val="left"/>
        <w:rPr>
          <w:rFonts w:hint="default" w:ascii="Times New Roman" w:hAnsi="Times New Roman" w:eastAsia="宋体" w:cs="Times New Roman"/>
          <w:b/>
          <w:sz w:val="24"/>
          <w:szCs w:val="32"/>
          <w:lang w:val="en-US"/>
        </w:rPr>
      </w:pPr>
      <w:r>
        <w:rPr>
          <w:rFonts w:hint="default" w:ascii="Times New Roman" w:hAnsi="Times New Roman" w:cs="Times New Roman"/>
          <w:color w:val="000000"/>
          <w:sz w:val="24"/>
          <w:szCs w:val="28"/>
          <w:lang w:val="en-US" w:eastAsia="zh-CN"/>
        </w:rPr>
        <w:t>根据各废水治理设施进出口监测结果，计算出各污染物处理效率，具体见下表9-</w:t>
      </w:r>
      <w:r>
        <w:rPr>
          <w:rFonts w:hint="eastAsia" w:ascii="Times New Roman" w:hAnsi="Times New Roman" w:cs="Times New Roman"/>
          <w:color w:val="000000"/>
          <w:sz w:val="24"/>
          <w:szCs w:val="28"/>
          <w:lang w:val="en-US" w:eastAsia="zh-CN"/>
        </w:rPr>
        <w:t>7</w:t>
      </w:r>
    </w:p>
    <w:p w14:paraId="4F54909E">
      <w:pPr>
        <w:pStyle w:val="50"/>
        <w:spacing w:line="360" w:lineRule="auto"/>
        <w:ind w:firstLine="0" w:firstLineChars="0"/>
        <w:jc w:val="center"/>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b/>
          <w:sz w:val="24"/>
          <w:szCs w:val="32"/>
          <w:lang w:val="en-US" w:eastAsia="zh-CN"/>
        </w:rPr>
        <w:t>表9-</w:t>
      </w:r>
      <w:r>
        <w:rPr>
          <w:rFonts w:hint="eastAsia" w:ascii="Times New Roman" w:hAnsi="Times New Roman" w:eastAsia="宋体" w:cs="Times New Roman"/>
          <w:b/>
          <w:sz w:val="24"/>
          <w:szCs w:val="32"/>
          <w:lang w:val="en-US" w:eastAsia="zh-CN"/>
        </w:rPr>
        <w:t>7</w:t>
      </w:r>
      <w:r>
        <w:rPr>
          <w:rFonts w:hint="default" w:ascii="Times New Roman" w:hAnsi="Times New Roman" w:eastAsia="宋体" w:cs="Times New Roman"/>
          <w:b/>
          <w:sz w:val="24"/>
          <w:szCs w:val="32"/>
          <w:lang w:val="en-US" w:eastAsia="zh-CN"/>
        </w:rPr>
        <w:t>废水治理设施处理效率一览表</w:t>
      </w:r>
    </w:p>
    <w:tbl>
      <w:tblPr>
        <w:tblStyle w:val="3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82"/>
        <w:gridCol w:w="1818"/>
        <w:gridCol w:w="2248"/>
        <w:gridCol w:w="1346"/>
        <w:gridCol w:w="1185"/>
      </w:tblGrid>
      <w:tr w14:paraId="23A08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7CAD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处理设施</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520E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监测项目</w:t>
            </w:r>
          </w:p>
        </w:tc>
        <w:tc>
          <w:tcPr>
            <w:tcW w:w="1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1813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污水处理前平均浓度（</w:t>
            </w:r>
            <w:r>
              <w:rPr>
                <w:rFonts w:hint="eastAsia" w:ascii="Times New Roman" w:hAnsi="Times New Roman" w:eastAsia="宋体" w:cs="Times New Roman"/>
                <w:b/>
                <w:bCs/>
                <w:i w:val="0"/>
                <w:iCs w:val="0"/>
                <w:color w:val="000000"/>
                <w:kern w:val="0"/>
                <w:sz w:val="21"/>
                <w:szCs w:val="21"/>
                <w:u w:val="none"/>
                <w:lang w:val="en-US" w:eastAsia="zh-CN" w:bidi="ar"/>
              </w:rPr>
              <w:t>g</w:t>
            </w:r>
            <w:r>
              <w:rPr>
                <w:rFonts w:hint="default" w:ascii="Times New Roman" w:hAnsi="Times New Roman" w:eastAsia="宋体" w:cs="Times New Roman"/>
                <w:b/>
                <w:bCs/>
                <w:i w:val="0"/>
                <w:iCs w:val="0"/>
                <w:color w:val="000000"/>
                <w:kern w:val="0"/>
                <w:sz w:val="21"/>
                <w:szCs w:val="21"/>
                <w:u w:val="none"/>
                <w:lang w:val="en-US" w:eastAsia="zh-CN" w:bidi="ar"/>
              </w:rPr>
              <w:t>/L）</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F516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污水处理后平均浓度（mg/L）</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AB43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处理效率%</w:t>
            </w:r>
          </w:p>
        </w:tc>
      </w:tr>
      <w:tr w14:paraId="75451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5" w:type="pct"/>
            <w:vMerge w:val="restart"/>
            <w:tcBorders>
              <w:top w:val="single" w:color="000000" w:sz="4" w:space="0"/>
              <w:left w:val="single" w:color="000000" w:sz="4" w:space="0"/>
              <w:right w:val="single" w:color="000000" w:sz="4" w:space="0"/>
            </w:tcBorders>
            <w:shd w:val="clear" w:color="auto" w:fill="auto"/>
            <w:noWrap/>
            <w:vAlign w:val="center"/>
          </w:tcPr>
          <w:p w14:paraId="5C69BE75">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default" w:ascii="Times New Roman" w:hAnsi="Times New Roman" w:cs="Times New Roman"/>
                <w:color w:val="000000"/>
                <w:sz w:val="21"/>
                <w:szCs w:val="21"/>
                <w:lang w:val="en-US" w:eastAsia="zh-CN" w:bidi="ar"/>
              </w:rPr>
              <w:t>一体化污水处理站</w:t>
            </w: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2C6A1268">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default" w:ascii="Times New Roman" w:hAnsi="Times New Roman" w:cs="Times New Roman"/>
                <w:color w:val="000000"/>
                <w:sz w:val="21"/>
                <w:szCs w:val="21"/>
                <w:lang w:val="en-US" w:eastAsia="zh-CN" w:bidi="ar"/>
              </w:rPr>
              <w:t>COD（mg/L）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CDBF">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200.5</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7F67">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55.25</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D5D1">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72.44</w:t>
            </w:r>
          </w:p>
        </w:tc>
      </w:tr>
      <w:tr w14:paraId="5B486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5" w:type="pct"/>
            <w:vMerge w:val="continue"/>
            <w:tcBorders>
              <w:left w:val="single" w:color="000000" w:sz="4" w:space="0"/>
              <w:right w:val="single" w:color="000000" w:sz="4" w:space="0"/>
            </w:tcBorders>
            <w:shd w:val="clear" w:color="auto" w:fill="auto"/>
            <w:noWrap/>
            <w:vAlign w:val="center"/>
          </w:tcPr>
          <w:p w14:paraId="71FA05BD">
            <w:pPr>
              <w:adjustRightInd w:val="0"/>
              <w:snapToGrid w:val="0"/>
              <w:spacing w:line="360" w:lineRule="exact"/>
              <w:jc w:val="center"/>
              <w:rPr>
                <w:rFonts w:hint="default" w:ascii="Times New Roman" w:hAnsi="Times New Roman" w:cs="Times New Roman"/>
                <w:color w:val="000000"/>
                <w:sz w:val="21"/>
                <w:szCs w:val="21"/>
                <w:lang w:val="en-US" w:eastAsia="zh-CN" w:bidi="ar"/>
              </w:rPr>
            </w:pP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542069DF">
            <w:pPr>
              <w:adjustRightInd w:val="0"/>
              <w:snapToGrid w:val="0"/>
              <w:spacing w:line="360" w:lineRule="exact"/>
              <w:jc w:val="center"/>
              <w:rPr>
                <w:rFonts w:hint="eastAsia"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氨氮</w:t>
            </w:r>
            <w:r>
              <w:rPr>
                <w:rFonts w:hint="default" w:ascii="Times New Roman" w:hAnsi="Times New Roman" w:cs="Times New Roman"/>
                <w:color w:val="000000"/>
                <w:sz w:val="21"/>
                <w:szCs w:val="21"/>
                <w:lang w:val="en-US" w:eastAsia="zh-CN" w:bidi="ar"/>
              </w:rPr>
              <w:t>（mg/L）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92B5">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7.945</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0FF6">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1.454</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40D3">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81.70</w:t>
            </w:r>
          </w:p>
        </w:tc>
      </w:tr>
      <w:tr w14:paraId="3536E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5" w:type="pct"/>
            <w:vMerge w:val="continue"/>
            <w:tcBorders>
              <w:left w:val="single" w:color="000000" w:sz="4" w:space="0"/>
              <w:right w:val="single" w:color="000000" w:sz="4" w:space="0"/>
            </w:tcBorders>
            <w:shd w:val="clear" w:color="auto" w:fill="auto"/>
            <w:noWrap/>
            <w:vAlign w:val="center"/>
          </w:tcPr>
          <w:p w14:paraId="412B4DD6">
            <w:pPr>
              <w:adjustRightInd w:val="0"/>
              <w:snapToGrid w:val="0"/>
              <w:spacing w:line="360" w:lineRule="exact"/>
              <w:jc w:val="center"/>
              <w:rPr>
                <w:rFonts w:hint="default" w:ascii="Times New Roman" w:hAnsi="Times New Roman" w:cs="Times New Roman"/>
                <w:color w:val="000000"/>
                <w:sz w:val="21"/>
                <w:szCs w:val="21"/>
                <w:lang w:val="en-US" w:eastAsia="zh-CN" w:bidi="ar"/>
              </w:rPr>
            </w:pP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4086C275">
            <w:pPr>
              <w:adjustRightInd w:val="0"/>
              <w:snapToGrid w:val="0"/>
              <w:spacing w:line="360" w:lineRule="exact"/>
              <w:jc w:val="center"/>
              <w:rPr>
                <w:rFonts w:hint="eastAsia"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硫酸盐</w:t>
            </w:r>
            <w:r>
              <w:rPr>
                <w:rFonts w:hint="default" w:ascii="Times New Roman" w:hAnsi="Times New Roman" w:cs="Times New Roman"/>
                <w:color w:val="000000"/>
                <w:sz w:val="21"/>
                <w:szCs w:val="21"/>
                <w:lang w:val="en-US" w:eastAsia="zh-CN" w:bidi="ar"/>
              </w:rPr>
              <w:t>（mg/L）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AC38">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390.5</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3ADD">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186.5</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9C0C">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52.24</w:t>
            </w:r>
          </w:p>
        </w:tc>
      </w:tr>
      <w:tr w14:paraId="282D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5" w:type="pct"/>
            <w:vMerge w:val="continue"/>
            <w:tcBorders>
              <w:left w:val="single" w:color="000000" w:sz="4" w:space="0"/>
              <w:right w:val="single" w:color="000000" w:sz="4" w:space="0"/>
            </w:tcBorders>
            <w:shd w:val="clear" w:color="auto" w:fill="auto"/>
            <w:noWrap/>
            <w:vAlign w:val="center"/>
          </w:tcPr>
          <w:p w14:paraId="45D71B69">
            <w:pPr>
              <w:adjustRightInd w:val="0"/>
              <w:snapToGrid w:val="0"/>
              <w:spacing w:line="360" w:lineRule="exact"/>
              <w:jc w:val="center"/>
              <w:rPr>
                <w:rFonts w:hint="default" w:ascii="Times New Roman" w:hAnsi="Times New Roman" w:cs="Times New Roman"/>
                <w:color w:val="000000"/>
                <w:sz w:val="21"/>
                <w:szCs w:val="21"/>
                <w:lang w:val="en-US" w:eastAsia="zh-CN" w:bidi="ar"/>
              </w:rPr>
            </w:pP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6BE957AF">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悬浮物</w:t>
            </w:r>
            <w:r>
              <w:rPr>
                <w:rFonts w:hint="default" w:ascii="Times New Roman" w:hAnsi="Times New Roman" w:cs="Times New Roman"/>
                <w:color w:val="000000"/>
                <w:sz w:val="21"/>
                <w:szCs w:val="21"/>
                <w:lang w:val="en-US" w:eastAsia="zh-CN" w:bidi="ar"/>
              </w:rPr>
              <w:t>（mg/L）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E965">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107.6</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7AC0">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22.12</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F244">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79.44</w:t>
            </w:r>
          </w:p>
        </w:tc>
      </w:tr>
      <w:tr w14:paraId="06AB1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5" w:type="pct"/>
            <w:vMerge w:val="continue"/>
            <w:tcBorders>
              <w:left w:val="single" w:color="000000" w:sz="4" w:space="0"/>
              <w:right w:val="single" w:color="000000" w:sz="4" w:space="0"/>
            </w:tcBorders>
            <w:shd w:val="clear" w:color="auto" w:fill="auto"/>
            <w:noWrap/>
            <w:vAlign w:val="center"/>
          </w:tcPr>
          <w:p w14:paraId="42C85C03">
            <w:pPr>
              <w:adjustRightInd w:val="0"/>
              <w:snapToGrid w:val="0"/>
              <w:spacing w:line="360" w:lineRule="exact"/>
              <w:jc w:val="center"/>
              <w:rPr>
                <w:rFonts w:hint="default" w:ascii="Times New Roman" w:hAnsi="Times New Roman" w:cs="Times New Roman"/>
                <w:color w:val="000000"/>
                <w:sz w:val="21"/>
                <w:szCs w:val="21"/>
                <w:lang w:val="en-US" w:eastAsia="zh-CN" w:bidi="ar"/>
              </w:rPr>
            </w:pP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63D736DD">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全盐量</w:t>
            </w:r>
            <w:r>
              <w:rPr>
                <w:rFonts w:hint="default" w:ascii="Times New Roman" w:hAnsi="Times New Roman" w:cs="Times New Roman"/>
                <w:color w:val="000000"/>
                <w:sz w:val="21"/>
                <w:szCs w:val="21"/>
                <w:lang w:val="en-US" w:eastAsia="zh-CN" w:bidi="ar"/>
              </w:rPr>
              <w:t>（mg/L）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F891">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2138.75</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7A8D">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1107.5</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CAF6">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48.21</w:t>
            </w:r>
          </w:p>
        </w:tc>
      </w:tr>
      <w:tr w14:paraId="7DA6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5" w:type="pct"/>
            <w:vMerge w:val="continue"/>
            <w:tcBorders>
              <w:left w:val="single" w:color="000000" w:sz="4" w:space="0"/>
              <w:bottom w:val="single" w:color="000000" w:sz="4" w:space="0"/>
              <w:right w:val="single" w:color="000000" w:sz="4" w:space="0"/>
            </w:tcBorders>
            <w:shd w:val="clear" w:color="auto" w:fill="auto"/>
            <w:noWrap/>
            <w:vAlign w:val="center"/>
          </w:tcPr>
          <w:p w14:paraId="5DAE9C8E">
            <w:pPr>
              <w:adjustRightInd w:val="0"/>
              <w:snapToGrid w:val="0"/>
              <w:spacing w:line="360" w:lineRule="exact"/>
              <w:jc w:val="center"/>
              <w:rPr>
                <w:rFonts w:hint="default" w:ascii="Times New Roman" w:hAnsi="Times New Roman" w:cs="Times New Roman"/>
                <w:color w:val="000000"/>
                <w:sz w:val="21"/>
                <w:szCs w:val="21"/>
                <w:lang w:val="en-US" w:eastAsia="zh-CN" w:bidi="ar"/>
              </w:rPr>
            </w:pPr>
          </w:p>
        </w:tc>
        <w:tc>
          <w:tcPr>
            <w:tcW w:w="979" w:type="pct"/>
            <w:tcBorders>
              <w:top w:val="single" w:color="000000" w:sz="4" w:space="0"/>
              <w:left w:val="nil"/>
              <w:bottom w:val="single" w:color="000000" w:sz="4" w:space="0"/>
              <w:right w:val="single" w:color="000000" w:sz="4" w:space="0"/>
            </w:tcBorders>
            <w:shd w:val="clear" w:color="auto" w:fill="auto"/>
            <w:noWrap/>
            <w:vAlign w:val="center"/>
          </w:tcPr>
          <w:p w14:paraId="7B32B57F">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总磷</w:t>
            </w:r>
            <w:r>
              <w:rPr>
                <w:rFonts w:hint="default" w:ascii="Times New Roman" w:hAnsi="Times New Roman" w:cs="Times New Roman"/>
                <w:color w:val="000000"/>
                <w:sz w:val="21"/>
                <w:szCs w:val="21"/>
                <w:lang w:val="en-US" w:eastAsia="zh-CN" w:bidi="ar"/>
              </w:rPr>
              <w:t>（mg/L）</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4EC56">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0.4675</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CE16">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0.1310</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1C345">
            <w:pPr>
              <w:adjustRightInd w:val="0"/>
              <w:snapToGrid w:val="0"/>
              <w:spacing w:line="360" w:lineRule="exact"/>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71.98</w:t>
            </w:r>
          </w:p>
        </w:tc>
      </w:tr>
    </w:tbl>
    <w:p w14:paraId="63A4719E">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9.2.2.2废气治理设施</w:t>
      </w:r>
    </w:p>
    <w:p w14:paraId="1A70B5C4">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根据监测结果可知：</w:t>
      </w:r>
      <w:r>
        <w:rPr>
          <w:rFonts w:hint="default" w:ascii="Times New Roman" w:hAnsi="Times New Roman" w:cs="Times New Roman"/>
          <w:sz w:val="24"/>
          <w:szCs w:val="24"/>
          <w:lang w:val="en-US" w:eastAsia="zh-CN"/>
        </w:rPr>
        <w:t>本项目</w:t>
      </w:r>
      <w:r>
        <w:rPr>
          <w:rFonts w:hint="eastAsia" w:ascii="Times New Roman" w:hAnsi="Times New Roman" w:cs="Times New Roman"/>
          <w:sz w:val="24"/>
          <w:szCs w:val="24"/>
          <w:lang w:val="en-US" w:eastAsia="zh-CN"/>
        </w:rPr>
        <w:t>二级活性炭</w:t>
      </w:r>
      <w:r>
        <w:rPr>
          <w:rFonts w:hint="default" w:ascii="Times New Roman" w:hAnsi="Times New Roman" w:cs="Times New Roman"/>
          <w:sz w:val="24"/>
          <w:szCs w:val="24"/>
          <w:lang w:val="en-US" w:eastAsia="zh-CN"/>
        </w:rPr>
        <w:t>处理系统处理效率可达到</w:t>
      </w:r>
      <w:r>
        <w:rPr>
          <w:rFonts w:hint="eastAsia" w:ascii="Times New Roman" w:hAnsi="Times New Roman" w:cs="Times New Roman"/>
          <w:sz w:val="24"/>
          <w:szCs w:val="24"/>
          <w:lang w:val="en-US" w:eastAsia="zh-CN"/>
        </w:rPr>
        <w:t>80</w:t>
      </w:r>
      <w:r>
        <w:rPr>
          <w:rFonts w:hint="default" w:ascii="Times New Roman" w:hAnsi="Times New Roman" w:cs="Times New Roman"/>
          <w:sz w:val="24"/>
          <w:szCs w:val="24"/>
          <w:lang w:val="en-US" w:eastAsia="zh-CN"/>
        </w:rPr>
        <w:t>%以上，废气处理系统废气处理效率为</w:t>
      </w:r>
      <w:r>
        <w:rPr>
          <w:rFonts w:hint="eastAsia" w:ascii="Times New Roman" w:hAnsi="Times New Roman" w:cs="Times New Roman"/>
          <w:sz w:val="24"/>
          <w:szCs w:val="24"/>
          <w:lang w:val="en-US" w:eastAsia="zh-CN"/>
        </w:rPr>
        <w:t>80</w:t>
      </w:r>
      <w:r>
        <w:rPr>
          <w:rFonts w:hint="default" w:ascii="Times New Roman" w:hAnsi="Times New Roman" w:cs="Times New Roman"/>
          <w:sz w:val="24"/>
          <w:szCs w:val="24"/>
          <w:lang w:val="en-US" w:eastAsia="zh-CN"/>
        </w:rPr>
        <w:t>%以上。从监测结果可以看出，污染物排放浓度及速率均满足相关标准要求</w:t>
      </w:r>
      <w:r>
        <w:rPr>
          <w:rFonts w:hint="default" w:ascii="Times New Roman" w:hAnsi="Times New Roman" w:cs="Times New Roman"/>
          <w:sz w:val="24"/>
          <w:szCs w:val="24"/>
        </w:rPr>
        <w:t>。</w:t>
      </w:r>
    </w:p>
    <w:p w14:paraId="387E821B">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9.2.2.3厂界噪声治理设施</w:t>
      </w:r>
    </w:p>
    <w:p w14:paraId="7CE4F929">
      <w:pPr>
        <w:pStyle w:val="3"/>
        <w:spacing w:after="0" w:line="360" w:lineRule="auto"/>
        <w:ind w:left="0" w:firstLine="480" w:firstLineChars="200"/>
        <w:rPr>
          <w:rFonts w:hint="default" w:ascii="Times New Roman" w:hAnsi="Times New Roman" w:eastAsia="宋体" w:cs="Times New Roman"/>
          <w:b/>
          <w:sz w:val="24"/>
          <w:szCs w:val="32"/>
        </w:rPr>
      </w:pPr>
      <w:r>
        <w:rPr>
          <w:rFonts w:hint="default" w:ascii="Times New Roman" w:hAnsi="Times New Roman" w:cs="Times New Roman"/>
          <w:sz w:val="24"/>
          <w:szCs w:val="28"/>
        </w:rPr>
        <w:t>该项目的噪声源治理采取集中布置、基础减振、建筑物隔音和加强管理等措施，这些降噪措施在技术上是成熟的，在经济上是合理的。</w:t>
      </w:r>
    </w:p>
    <w:p w14:paraId="08CBEE67">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9.2.2.4固体废物治理设施</w:t>
      </w:r>
    </w:p>
    <w:p w14:paraId="62B00310">
      <w:pPr>
        <w:autoSpaceDE w:val="0"/>
        <w:autoSpaceDN w:val="0"/>
        <w:adjustRightInd w:val="0"/>
        <w:spacing w:line="348" w:lineRule="auto"/>
        <w:ind w:firstLine="477" w:firstLineChars="199"/>
        <w:rPr>
          <w:rFonts w:hint="default" w:ascii="Times New Roman" w:hAnsi="Times New Roman" w:cs="Times New Roman"/>
          <w:sz w:val="24"/>
          <w:szCs w:val="24"/>
          <w:lang w:val="en-US" w:eastAsia="zh-CN"/>
        </w:rPr>
      </w:pPr>
      <w:r>
        <w:rPr>
          <w:rFonts w:hint="default" w:ascii="Times New Roman" w:hAnsi="Times New Roman" w:cs="Times New Roman"/>
          <w:sz w:val="24"/>
          <w:szCs w:val="24"/>
        </w:rPr>
        <w:t>该项目不涉及固（液）体废物监测项目。</w:t>
      </w:r>
      <w:bookmarkStart w:id="66" w:name="_Hlk59628348"/>
      <w:r>
        <w:rPr>
          <w:rFonts w:hint="default" w:ascii="Times New Roman" w:hAnsi="Times New Roman" w:cs="Times New Roman"/>
          <w:sz w:val="24"/>
          <w:lang w:val="en-US" w:eastAsia="zh-CN"/>
        </w:rPr>
        <w:t>本项</w:t>
      </w:r>
      <w:r>
        <w:rPr>
          <w:rFonts w:hint="default" w:ascii="Times New Roman" w:hAnsi="Times New Roman" w:cs="Times New Roman"/>
          <w:sz w:val="24"/>
          <w:szCs w:val="24"/>
          <w:lang w:val="en-US" w:eastAsia="zh-CN"/>
        </w:rPr>
        <w:t>目</w:t>
      </w:r>
      <w:r>
        <w:rPr>
          <w:rFonts w:hint="default" w:ascii="Times New Roman" w:hAnsi="Times New Roman" w:cs="Times New Roman"/>
          <w:sz w:val="24"/>
          <w:szCs w:val="24"/>
        </w:rPr>
        <w:t>设置垃圾桶，生活垃圾、水处理产生污泥由环卫定期清运； 废活性炭、精馏残液、废过滤介质、过滤残渣等危废委托资质单位处理</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项目产生的固废均得到妥善安置处理，对周围环境影响较小。</w:t>
      </w:r>
    </w:p>
    <w:bookmarkEnd w:id="66"/>
    <w:p w14:paraId="21EE624A">
      <w:pPr>
        <w:adjustRightInd w:val="0"/>
        <w:snapToGrid w:val="0"/>
        <w:spacing w:line="360" w:lineRule="auto"/>
        <w:ind w:firstLine="562" w:firstLineChars="200"/>
        <w:rPr>
          <w:rFonts w:hint="default" w:ascii="Times New Roman" w:hAnsi="Times New Roman" w:cs="Times New Roman"/>
          <w:b/>
          <w:sz w:val="28"/>
          <w:szCs w:val="32"/>
        </w:rPr>
      </w:pPr>
      <w:r>
        <w:rPr>
          <w:rFonts w:hint="default" w:ascii="Times New Roman" w:hAnsi="Times New Roman" w:cs="Times New Roman"/>
          <w:b/>
          <w:sz w:val="28"/>
          <w:szCs w:val="32"/>
        </w:rPr>
        <w:t>9.</w:t>
      </w:r>
      <w:r>
        <w:rPr>
          <w:rFonts w:hint="default" w:ascii="Times New Roman" w:hAnsi="Times New Roman" w:cs="Times New Roman"/>
          <w:b/>
          <w:sz w:val="28"/>
          <w:szCs w:val="32"/>
          <w:lang w:val="en-US" w:eastAsia="zh-CN"/>
        </w:rPr>
        <w:t>4</w:t>
      </w:r>
      <w:r>
        <w:rPr>
          <w:rFonts w:hint="default" w:ascii="Times New Roman" w:hAnsi="Times New Roman" w:cs="Times New Roman"/>
          <w:b/>
          <w:sz w:val="28"/>
          <w:szCs w:val="32"/>
        </w:rPr>
        <w:t>工程建设对环境的影响</w:t>
      </w:r>
    </w:p>
    <w:p w14:paraId="22F42483">
      <w:pPr>
        <w:pStyle w:val="3"/>
        <w:spacing w:after="0" w:line="360" w:lineRule="auto"/>
        <w:ind w:left="0" w:firstLine="480" w:firstLineChars="200"/>
        <w:rPr>
          <w:color w:val="000000"/>
          <w:sz w:val="24"/>
          <w:szCs w:val="28"/>
        </w:rPr>
      </w:pPr>
      <w:r>
        <w:rPr>
          <w:rFonts w:hint="default" w:ascii="Times New Roman" w:hAnsi="Times New Roman" w:cs="Times New Roman"/>
          <w:color w:val="000000"/>
          <w:sz w:val="24"/>
          <w:szCs w:val="28"/>
        </w:rPr>
        <w:t>在各项环保措施落实的情况下，该项目外排污染物能够达到相应标准的要求，对周围环境影响很小。</w:t>
      </w:r>
    </w:p>
    <w:p w14:paraId="6CC4B73F">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67" w:name="_Toc6638"/>
    </w:p>
    <w:p w14:paraId="16800875">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6B5D4A94">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5429C317">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738A2B4B">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04FE2550">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685A2403">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302DD71">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296F43C">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13331916">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p>
    <w:p w14:paraId="2684CF31">
      <w:pPr>
        <w:pStyle w:val="50"/>
        <w:spacing w:line="360" w:lineRule="auto"/>
        <w:ind w:left="-210" w:leftChars="-100" w:firstLine="0" w:firstLineChars="0"/>
        <w:jc w:val="center"/>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10、验收监测结论</w:t>
      </w:r>
      <w:bookmarkEnd w:id="67"/>
    </w:p>
    <w:p w14:paraId="54DFA75B">
      <w:pPr>
        <w:pStyle w:val="50"/>
        <w:spacing w:line="360" w:lineRule="auto"/>
        <w:ind w:firstLine="0" w:firstLineChars="0"/>
        <w:jc w:val="left"/>
        <w:outlineLvl w:val="1"/>
        <w:rPr>
          <w:rFonts w:hint="default" w:ascii="Times New Roman" w:hAnsi="Times New Roman" w:eastAsia="宋体" w:cs="Times New Roman"/>
          <w:b/>
          <w:sz w:val="28"/>
          <w:szCs w:val="32"/>
        </w:rPr>
      </w:pPr>
      <w:bookmarkStart w:id="68" w:name="_Toc29011"/>
      <w:r>
        <w:rPr>
          <w:rFonts w:hint="default" w:ascii="Times New Roman" w:hAnsi="Times New Roman" w:eastAsia="宋体" w:cs="Times New Roman"/>
          <w:b/>
          <w:sz w:val="28"/>
          <w:szCs w:val="32"/>
        </w:rPr>
        <w:t>10.1环境保护设施调试效果</w:t>
      </w:r>
      <w:bookmarkEnd w:id="68"/>
    </w:p>
    <w:p w14:paraId="79DEEAB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eastAsia" w:cs="Times New Roman"/>
          <w:sz w:val="24"/>
          <w:szCs w:val="24"/>
          <w:lang w:eastAsia="zh-CN"/>
        </w:rPr>
        <w:t>山东瑞盟生物科技有限公司</w:t>
      </w:r>
      <w:r>
        <w:rPr>
          <w:rFonts w:hint="eastAsia" w:cs="Times New Roman"/>
          <w:sz w:val="24"/>
          <w:szCs w:val="24"/>
          <w:lang w:val="en-US" w:eastAsia="zh-CN"/>
        </w:rPr>
        <w:t>年产20000吨食品添加剂项目（一期）</w:t>
      </w:r>
      <w:r>
        <w:rPr>
          <w:rFonts w:hint="default" w:ascii="Times New Roman" w:hAnsi="Times New Roman" w:cs="Times New Roman"/>
          <w:color w:val="000000"/>
          <w:sz w:val="24"/>
          <w:szCs w:val="28"/>
        </w:rPr>
        <w:t>验收结论如下：</w:t>
      </w:r>
    </w:p>
    <w:p w14:paraId="1846AF90">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10.1.1有组织废气</w:t>
      </w:r>
    </w:p>
    <w:p w14:paraId="1B8049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塑料包装生产车间的废气经集气罩收集后经过二级活性炭吸附装置处理后，通过15m排气筒P1排放。</w:t>
      </w:r>
    </w:p>
    <w:p w14:paraId="4FA44ED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排气筒P1废气有组织污染物VOCs最大排放浓度为0.965mg/m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，最大排放速率为</w:t>
      </w:r>
      <w:r>
        <w:rPr>
          <w:rFonts w:hint="default" w:ascii="Times New Roman" w:hAnsi="Times New Roman" w:cs="Times New Roman"/>
          <w:sz w:val="24"/>
          <w:szCs w:val="24"/>
          <w:lang w:val="en-US" w:eastAsia="zh-CN"/>
        </w:rPr>
        <w:t>2.80×10</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kg/h，排放浓度和排放速率满足《挥发性有机物排放控制标准  第6部分：有机化工行业》（DB37/2801.6-2018）表1II时段排放限值要求（60mg/m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,3kg/h）。</w:t>
      </w:r>
    </w:p>
    <w:p w14:paraId="41E60C3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醋酸生产车间的过滤、精馏、分装以及储存的废气经过管道收集后通过碱喷淋+活性炭吸附装置处理后通过15m排气筒P2排放。</w:t>
      </w:r>
    </w:p>
    <w:p w14:paraId="36143F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排气筒P2废气有组织污染物VOCs最大排放浓度为0.894mg/m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，最大排放速率为</w:t>
      </w:r>
      <w:r>
        <w:rPr>
          <w:rFonts w:hint="default" w:ascii="Times New Roman" w:hAnsi="Times New Roman" w:cs="Times New Roman"/>
          <w:sz w:val="24"/>
          <w:szCs w:val="24"/>
          <w:lang w:val="en-US" w:eastAsia="zh-CN"/>
        </w:rPr>
        <w:t>2.8</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kg/h，排放浓度和排放速率满足《挥发性有机物排放控制标准  第7部分：其他行业》（DB37/2801.7-2019）表1II时段排放限值要求（60mg/m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,3kg/h）。</w:t>
      </w:r>
    </w:p>
    <w:p w14:paraId="5950A219">
      <w:pPr>
        <w:pStyle w:val="50"/>
        <w:spacing w:line="360" w:lineRule="auto"/>
        <w:ind w:left="0" w:leftChars="0"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10.1.2无组织废气</w:t>
      </w:r>
    </w:p>
    <w:p w14:paraId="0A558D83">
      <w:pPr>
        <w:pStyle w:val="50"/>
        <w:spacing w:line="360" w:lineRule="auto"/>
        <w:ind w:firstLine="480" w:firstLineChars="200"/>
        <w:jc w:val="both"/>
        <w:rPr>
          <w:rFonts w:hint="default" w:ascii="Times New Roman" w:hAnsi="Times New Roman" w:eastAsia="宋体" w:cs="Times New Roman"/>
          <w:kern w:val="2"/>
          <w:sz w:val="24"/>
          <w:szCs w:val="24"/>
          <w:vertAlign w:val="superscript"/>
          <w:lang w:val="en-US" w:eastAsia="zh-CN" w:bidi="ar-SA"/>
        </w:rPr>
      </w:pPr>
      <w:r>
        <w:rPr>
          <w:rFonts w:hint="default" w:ascii="Times New Roman" w:hAnsi="Times New Roman" w:eastAsia="宋体" w:cs="Times New Roman"/>
          <w:color w:val="000000"/>
          <w:sz w:val="24"/>
          <w:szCs w:val="24"/>
        </w:rPr>
        <w:t>厂界</w:t>
      </w:r>
      <w:r>
        <w:rPr>
          <w:rFonts w:hint="default" w:ascii="Times New Roman" w:hAnsi="Times New Roman" w:cs="Times New Roman"/>
          <w:color w:val="000000"/>
          <w:sz w:val="24"/>
          <w:szCs w:val="24"/>
          <w:lang w:val="en-US" w:eastAsia="zh-CN"/>
        </w:rPr>
        <w:t>VOCs</w:t>
      </w:r>
      <w:r>
        <w:rPr>
          <w:rFonts w:hint="default" w:ascii="Times New Roman" w:hAnsi="Times New Roman" w:eastAsia="宋体" w:cs="Times New Roman"/>
          <w:sz w:val="24"/>
          <w:szCs w:val="24"/>
        </w:rPr>
        <w:t>无组织粉尘最大排放浓度为，满足</w:t>
      </w:r>
      <w:r>
        <w:rPr>
          <w:rFonts w:hint="default" w:ascii="Times New Roman" w:hAnsi="Times New Roman" w:eastAsia="宋体" w:cs="Times New Roman"/>
          <w:kern w:val="2"/>
          <w:sz w:val="24"/>
          <w:szCs w:val="24"/>
          <w:lang w:val="en-US" w:eastAsia="zh-CN" w:bidi="ar-SA"/>
        </w:rPr>
        <w:t>《挥发性有机物排放标准第6部分：有机化工》DB37/2801.6-2018表3限值2.0mg/m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sz w:val="24"/>
          <w:szCs w:val="24"/>
          <w:lang w:val="en-US" w:eastAsia="zh-CN"/>
        </w:rPr>
        <w:t>和</w:t>
      </w:r>
      <w:r>
        <w:rPr>
          <w:rFonts w:hint="default" w:ascii="Times New Roman" w:hAnsi="Times New Roman" w:cs="Times New Roman"/>
          <w:sz w:val="24"/>
          <w:szCs w:val="24"/>
          <w:lang w:val="en-US" w:eastAsia="zh-CN"/>
        </w:rPr>
        <w:t>《挥发性有机物排放控制标准  第7部分：其他行业》（DB37/2801.7-2019）表2限值2.0</w:t>
      </w:r>
      <w:r>
        <w:rPr>
          <w:rFonts w:hint="default" w:ascii="Times New Roman" w:hAnsi="Times New Roman" w:eastAsia="宋体" w:cs="Times New Roman"/>
          <w:kern w:val="2"/>
          <w:sz w:val="24"/>
          <w:szCs w:val="24"/>
          <w:lang w:val="en-US" w:eastAsia="zh-CN" w:bidi="ar-SA"/>
        </w:rPr>
        <w:t>mg/m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vertAlign w:val="baseline"/>
          <w:lang w:val="en-US" w:eastAsia="zh-CN" w:bidi="ar-SA"/>
        </w:rPr>
        <w:t>。</w:t>
      </w:r>
    </w:p>
    <w:p w14:paraId="473E224B">
      <w:pPr>
        <w:pStyle w:val="50"/>
        <w:spacing w:line="360" w:lineRule="auto"/>
        <w:ind w:left="0" w:leftChars="0"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10.1.3噪声</w:t>
      </w:r>
    </w:p>
    <w:p w14:paraId="034B41B5">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根据现场监测期间监测结果：厂界</w:t>
      </w:r>
      <w:r>
        <w:rPr>
          <w:rFonts w:hint="eastAsia" w:cs="Times New Roman"/>
          <w:color w:val="000000"/>
          <w:sz w:val="24"/>
          <w:szCs w:val="28"/>
          <w:lang w:val="en-US" w:eastAsia="zh-CN"/>
        </w:rPr>
        <w:t>3</w:t>
      </w:r>
      <w:r>
        <w:rPr>
          <w:rFonts w:hint="default" w:ascii="Times New Roman" w:hAnsi="Times New Roman" w:cs="Times New Roman"/>
          <w:color w:val="000000"/>
          <w:sz w:val="24"/>
          <w:szCs w:val="28"/>
        </w:rPr>
        <w:t>个噪声监测点</w:t>
      </w:r>
      <w:r>
        <w:rPr>
          <w:rFonts w:hint="eastAsia" w:cs="Times New Roman"/>
          <w:color w:val="000000"/>
          <w:sz w:val="24"/>
          <w:szCs w:val="28"/>
          <w:lang w:eastAsia="zh-CN"/>
        </w:rPr>
        <w:t>（</w:t>
      </w:r>
      <w:r>
        <w:rPr>
          <w:rFonts w:hint="eastAsia" w:cs="Times New Roman"/>
          <w:color w:val="000000"/>
          <w:sz w:val="24"/>
          <w:szCs w:val="28"/>
          <w:lang w:val="en-US" w:eastAsia="zh-CN"/>
        </w:rPr>
        <w:t>东厂界不具备检测条件</w:t>
      </w:r>
      <w:r>
        <w:rPr>
          <w:rFonts w:hint="eastAsia" w:cs="Times New Roman"/>
          <w:color w:val="000000"/>
          <w:sz w:val="24"/>
          <w:szCs w:val="28"/>
          <w:lang w:eastAsia="zh-CN"/>
        </w:rPr>
        <w:t>）</w:t>
      </w:r>
      <w:r>
        <w:rPr>
          <w:rFonts w:hint="default" w:ascii="Times New Roman" w:hAnsi="Times New Roman" w:cs="Times New Roman"/>
          <w:color w:val="000000"/>
          <w:sz w:val="24"/>
          <w:szCs w:val="28"/>
        </w:rPr>
        <w:t>，</w:t>
      </w:r>
      <w:r>
        <w:rPr>
          <w:rFonts w:hint="default" w:ascii="Times New Roman" w:hAnsi="Times New Roman" w:cs="Times New Roman"/>
          <w:kern w:val="0"/>
          <w:sz w:val="24"/>
          <w:szCs w:val="21"/>
        </w:rPr>
        <w:t>昼间噪声值范围为</w:t>
      </w:r>
      <w:r>
        <w:rPr>
          <w:rFonts w:hint="eastAsia" w:cs="Times New Roman"/>
          <w:kern w:val="0"/>
          <w:sz w:val="24"/>
          <w:szCs w:val="21"/>
          <w:lang w:val="en-US" w:eastAsia="zh-CN"/>
        </w:rPr>
        <w:t>55.4</w:t>
      </w:r>
      <w:r>
        <w:rPr>
          <w:rFonts w:hint="default" w:ascii="Times New Roman" w:hAnsi="Times New Roman" w:cs="Times New Roman"/>
          <w:kern w:val="0"/>
          <w:sz w:val="24"/>
          <w:szCs w:val="21"/>
        </w:rPr>
        <w:t>～</w:t>
      </w:r>
      <w:r>
        <w:rPr>
          <w:rFonts w:hint="eastAsia" w:cs="Times New Roman"/>
          <w:kern w:val="0"/>
          <w:sz w:val="24"/>
          <w:szCs w:val="21"/>
          <w:lang w:val="en-US" w:eastAsia="zh-CN"/>
        </w:rPr>
        <w:t>58.2</w:t>
      </w:r>
      <w:r>
        <w:rPr>
          <w:rFonts w:hint="default" w:ascii="Times New Roman" w:hAnsi="Times New Roman" w:cs="Times New Roman"/>
          <w:kern w:val="0"/>
          <w:sz w:val="24"/>
          <w:szCs w:val="21"/>
        </w:rPr>
        <w:t>dB(A)，</w:t>
      </w:r>
      <w:r>
        <w:rPr>
          <w:rFonts w:hint="eastAsia" w:cs="Times New Roman"/>
          <w:kern w:val="0"/>
          <w:sz w:val="24"/>
          <w:szCs w:val="21"/>
          <w:lang w:val="en-US" w:eastAsia="zh-CN"/>
        </w:rPr>
        <w:t>夜间噪声范围为45.9~48.6</w:t>
      </w:r>
      <w:r>
        <w:rPr>
          <w:rFonts w:hint="default" w:ascii="Times New Roman" w:hAnsi="Times New Roman" w:cs="Times New Roman"/>
          <w:kern w:val="0"/>
          <w:sz w:val="24"/>
          <w:szCs w:val="21"/>
        </w:rPr>
        <w:t>dB(A)检测结果</w:t>
      </w:r>
      <w:r>
        <w:rPr>
          <w:rFonts w:hint="default" w:ascii="Times New Roman" w:hAnsi="Times New Roman" w:cs="Times New Roman"/>
          <w:kern w:val="0"/>
          <w:sz w:val="24"/>
          <w:szCs w:val="21"/>
          <w:lang w:val="en-US" w:eastAsia="zh-CN"/>
        </w:rPr>
        <w:t>满足</w:t>
      </w:r>
      <w:r>
        <w:rPr>
          <w:rFonts w:hint="default" w:ascii="Times New Roman" w:hAnsi="Times New Roman" w:cs="Times New Roman"/>
          <w:kern w:val="0"/>
          <w:sz w:val="24"/>
          <w:szCs w:val="21"/>
        </w:rPr>
        <w:t>《工业企业厂界环境噪声排放标准》(GB12348-2008)中</w:t>
      </w:r>
      <w:r>
        <w:rPr>
          <w:rFonts w:hint="eastAsia" w:cs="Times New Roman"/>
          <w:kern w:val="0"/>
          <w:sz w:val="24"/>
          <w:szCs w:val="21"/>
          <w:lang w:val="en-US" w:eastAsia="zh-CN"/>
        </w:rPr>
        <w:t>3</w:t>
      </w:r>
      <w:r>
        <w:rPr>
          <w:rFonts w:hint="default" w:ascii="Times New Roman" w:hAnsi="Times New Roman" w:cs="Times New Roman"/>
          <w:kern w:val="0"/>
          <w:sz w:val="24"/>
          <w:szCs w:val="21"/>
        </w:rPr>
        <w:t>类标准限值要求。</w:t>
      </w:r>
    </w:p>
    <w:p w14:paraId="6CF1CCAA">
      <w:pPr>
        <w:pStyle w:val="50"/>
        <w:spacing w:line="360" w:lineRule="auto"/>
        <w:ind w:firstLine="0" w:firstLineChars="0"/>
        <w:jc w:val="left"/>
        <w:rPr>
          <w:rFonts w:hint="eastAsia"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10.1.4废水</w:t>
      </w:r>
    </w:p>
    <w:p w14:paraId="650879F9">
      <w:pPr>
        <w:pStyle w:val="50"/>
        <w:spacing w:line="360" w:lineRule="auto"/>
        <w:ind w:firstLine="480" w:firstLineChars="200"/>
        <w:jc w:val="left"/>
        <w:rPr>
          <w:rFonts w:hint="default" w:ascii="Times New Roman" w:hAnsi="Times New Roman" w:cs="Times New Roman" w:eastAsiaTheme="minorEastAsia"/>
          <w:b/>
          <w:sz w:val="24"/>
          <w:szCs w:val="32"/>
          <w:lang w:val="en-US" w:eastAsia="zh-CN"/>
        </w:rPr>
      </w:pPr>
      <w:r>
        <w:rPr>
          <w:rFonts w:hint="default" w:ascii="Times New Roman" w:hAnsi="Times New Roman" w:cs="Times New Roman"/>
          <w:color w:val="000000"/>
          <w:sz w:val="24"/>
          <w:szCs w:val="28"/>
        </w:rPr>
        <w:t>根据现场监测期间监测结果：</w:t>
      </w:r>
      <w:r>
        <w:rPr>
          <w:rFonts w:hint="eastAsia" w:ascii="Times New Roman" w:hAnsi="Times New Roman" w:cs="Times New Roman"/>
          <w:color w:val="000000"/>
          <w:sz w:val="24"/>
          <w:szCs w:val="28"/>
          <w:lang w:val="en-US" w:eastAsia="zh-CN"/>
        </w:rPr>
        <w:t>一体化污水处理站出口pH值浓度范围8.0~8.2，化学需氧量最大排放浓度为59</w:t>
      </w:r>
      <w:r>
        <w:rPr>
          <w:rFonts w:hint="default" w:ascii="Times New Roman" w:hAnsi="Times New Roman" w:eastAsia="宋体" w:cs="Times New Roman"/>
          <w:color w:val="auto"/>
          <w:kern w:val="2"/>
          <w:sz w:val="21"/>
          <w:szCs w:val="21"/>
          <w:lang w:val="en-US" w:eastAsia="zh-CN" w:bidi="ar-SA"/>
        </w:rPr>
        <w:t>mg/L</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000000"/>
          <w:sz w:val="24"/>
          <w:szCs w:val="28"/>
          <w:highlight w:val="none"/>
          <w:lang w:val="en-US" w:eastAsia="zh-CN"/>
        </w:rPr>
        <w:t>氨氮最大排放浓度为1.60</w:t>
      </w:r>
      <w:r>
        <w:rPr>
          <w:rFonts w:hint="default" w:ascii="Times New Roman" w:hAnsi="Times New Roman" w:eastAsia="宋体" w:cs="Times New Roman"/>
          <w:color w:val="auto"/>
          <w:kern w:val="2"/>
          <w:sz w:val="21"/>
          <w:szCs w:val="21"/>
          <w:highlight w:val="none"/>
          <w:lang w:val="en-US" w:eastAsia="zh-CN" w:bidi="ar-SA"/>
        </w:rPr>
        <w:t>mg/L</w:t>
      </w:r>
      <w:r>
        <w:rPr>
          <w:rFonts w:hint="eastAsia" w:ascii="Times New Roman" w:hAnsi="Times New Roman" w:cs="Times New Roman"/>
          <w:color w:val="000000"/>
          <w:sz w:val="24"/>
          <w:szCs w:val="28"/>
          <w:highlight w:val="none"/>
          <w:lang w:val="en-US" w:eastAsia="zh-CN"/>
        </w:rPr>
        <w:t>、</w:t>
      </w:r>
      <w:r>
        <w:rPr>
          <w:rFonts w:hint="eastAsia" w:ascii="Times New Roman" w:hAnsi="Times New Roman" w:cs="Times New Roman"/>
          <w:color w:val="000000"/>
          <w:sz w:val="24"/>
          <w:szCs w:val="28"/>
          <w:lang w:val="en-US" w:eastAsia="zh-CN"/>
        </w:rPr>
        <w:t>硫酸盐最大排放浓度为219</w:t>
      </w:r>
      <w:r>
        <w:rPr>
          <w:rFonts w:hint="default" w:ascii="Times New Roman" w:hAnsi="Times New Roman" w:eastAsia="宋体" w:cs="Times New Roman"/>
          <w:color w:val="auto"/>
          <w:kern w:val="2"/>
          <w:sz w:val="21"/>
          <w:szCs w:val="21"/>
          <w:lang w:val="en-US" w:eastAsia="zh-CN" w:bidi="ar-SA"/>
        </w:rPr>
        <w:t>mg/L</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000000"/>
          <w:sz w:val="24"/>
          <w:szCs w:val="28"/>
          <w:lang w:val="en-US" w:eastAsia="zh-CN"/>
        </w:rPr>
        <w:t>悬浮物最大排放浓度为26</w:t>
      </w:r>
      <w:r>
        <w:rPr>
          <w:rFonts w:hint="default" w:ascii="Times New Roman" w:hAnsi="Times New Roman" w:eastAsia="宋体" w:cs="Times New Roman"/>
          <w:color w:val="auto"/>
          <w:kern w:val="2"/>
          <w:sz w:val="21"/>
          <w:szCs w:val="21"/>
          <w:lang w:val="en-US" w:eastAsia="zh-CN" w:bidi="ar-SA"/>
        </w:rPr>
        <w:t>mg/L</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000000"/>
          <w:sz w:val="24"/>
          <w:szCs w:val="28"/>
          <w:lang w:val="en-US" w:eastAsia="zh-CN"/>
        </w:rPr>
        <w:t>全盐量最大排放浓度为1.19</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mg/L</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000000"/>
          <w:sz w:val="24"/>
          <w:szCs w:val="28"/>
          <w:lang w:val="en-US" w:eastAsia="zh-CN"/>
        </w:rPr>
        <w:t>总磷最大排放浓度为0.14</w:t>
      </w:r>
      <w:r>
        <w:rPr>
          <w:rFonts w:hint="default" w:ascii="Times New Roman" w:hAnsi="Times New Roman" w:cs="Times New Roman"/>
          <w:color w:val="auto"/>
          <w:kern w:val="2"/>
          <w:sz w:val="21"/>
          <w:szCs w:val="21"/>
          <w:lang w:val="en-US" w:eastAsia="zh-CN" w:bidi="ar-SA"/>
        </w:rPr>
        <w:t>×10</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mg/L</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eastAsiaTheme="minorEastAsia"/>
          <w:color w:val="auto"/>
          <w:kern w:val="2"/>
          <w:sz w:val="24"/>
          <w:szCs w:val="24"/>
          <w:lang w:val="en-US" w:eastAsia="zh-CN" w:bidi="ar-SA"/>
        </w:rPr>
        <w:t>废水排放浓度满足港航产业园污水处理厂接纳标准</w:t>
      </w:r>
    </w:p>
    <w:p w14:paraId="3F1935CF">
      <w:pPr>
        <w:pStyle w:val="50"/>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10.1.4固废</w:t>
      </w:r>
    </w:p>
    <w:p w14:paraId="0EEAFE5C">
      <w:pPr>
        <w:autoSpaceDE w:val="0"/>
        <w:autoSpaceDN w:val="0"/>
        <w:adjustRightInd w:val="0"/>
        <w:spacing w:line="348" w:lineRule="auto"/>
        <w:ind w:firstLine="477" w:firstLineChars="199"/>
        <w:rPr>
          <w:rFonts w:hint="default" w:ascii="Times New Roman" w:hAnsi="Times New Roman" w:cs="Times New Roman" w:eastAsiaTheme="minorEastAsia"/>
          <w:sz w:val="24"/>
          <w:lang w:val="en-US" w:eastAsia="zh-CN"/>
        </w:rPr>
      </w:pPr>
      <w:bookmarkStart w:id="69" w:name="_Toc17371"/>
      <w:r>
        <w:rPr>
          <w:rFonts w:hint="default" w:ascii="Times New Roman" w:hAnsi="Times New Roman" w:cs="Times New Roman"/>
          <w:sz w:val="24"/>
          <w:lang w:val="en-US" w:eastAsia="zh-CN"/>
        </w:rPr>
        <w:t>本项目产生的固废主要有废反渗透膜、防结块液废桶、防结块粉包装袋等，本项目产生的废反渗透膜由环卫部门定期清运，防结块液废桶厂界回收利用，防结块包装袋外售综合利用。本项目产生的各项固废均有明确的去向，处置合理，不会对环境造成二次污染。</w:t>
      </w:r>
    </w:p>
    <w:p w14:paraId="7F2567DA">
      <w:pPr>
        <w:pStyle w:val="50"/>
        <w:spacing w:line="360" w:lineRule="auto"/>
        <w:ind w:firstLine="0" w:firstLineChars="0"/>
        <w:jc w:val="left"/>
        <w:rPr>
          <w:rFonts w:hint="eastAsia"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10.1.5总量控制</w:t>
      </w:r>
    </w:p>
    <w:p w14:paraId="2D2359F8">
      <w:pPr>
        <w:pStyle w:val="50"/>
        <w:spacing w:line="360" w:lineRule="auto"/>
        <w:ind w:firstLine="480" w:firstLineChars="200"/>
        <w:jc w:val="left"/>
        <w:rPr>
          <w:rFonts w:hint="default"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根据验收检测报告数据，本项目VOCs排放总</w:t>
      </w:r>
      <w:bookmarkStart w:id="100" w:name="_GoBack"/>
      <w:bookmarkEnd w:id="100"/>
      <w:r>
        <w:rPr>
          <w:rFonts w:hint="eastAsia" w:ascii="Times New Roman" w:hAnsi="Times New Roman" w:eastAsia="宋体" w:cs="Times New Roman"/>
          <w:b w:val="0"/>
          <w:bCs/>
          <w:sz w:val="24"/>
          <w:szCs w:val="32"/>
          <w:lang w:val="en-US" w:eastAsia="zh-CN"/>
        </w:rPr>
        <w:t>量为0.02t/a，满足总量控制要求（VOCs0.3255t/a）。</w:t>
      </w:r>
    </w:p>
    <w:p w14:paraId="3D2CB51B">
      <w:pPr>
        <w:pStyle w:val="50"/>
        <w:spacing w:line="360" w:lineRule="auto"/>
        <w:ind w:firstLine="0" w:firstLineChars="0"/>
        <w:jc w:val="left"/>
        <w:outlineLvl w:val="1"/>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10.2建议</w:t>
      </w:r>
      <w:bookmarkEnd w:id="69"/>
    </w:p>
    <w:p w14:paraId="0B185E2D">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1、保护环境，人人有责，加强环境管理，提高职工环保意识，加强职工环保教育，制定各项环保规章制度，将环境管理纳入到日常生产中，最大限度减少资源浪费和环境污染。</w:t>
      </w:r>
    </w:p>
    <w:p w14:paraId="6A8A6B25">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2、加强厂区周边绿化建设，扩大厂区绿化面积。</w:t>
      </w:r>
    </w:p>
    <w:p w14:paraId="77556A36">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3、加强厂区内风险防范设施的日常保养及维护，确保风险防范设施无故障。</w:t>
      </w:r>
    </w:p>
    <w:p w14:paraId="4539442C">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4、做好对噪声污染的防治措施，在设备选型时应优先选用高效、低噪的设备。对于高噪声的设备设置专门的消声、隔音罩，并加强维护管理。</w:t>
      </w:r>
    </w:p>
    <w:p w14:paraId="79BDE583">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5、加强环保设施的维护与环境保护治理，确保项目运行期间保设施的正常运行，降低对周围环境造成的影响。</w:t>
      </w:r>
    </w:p>
    <w:p w14:paraId="0F12E71E">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6、做好环境应急预案的培训与演练，定期检查、维护消防设备与应急物资，提高环境事故应急响应能力。</w:t>
      </w:r>
    </w:p>
    <w:p w14:paraId="3C0135AB">
      <w:pPr>
        <w:pStyle w:val="3"/>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7、建立固废管理台帐，做好固废处理记录。</w:t>
      </w:r>
    </w:p>
    <w:p w14:paraId="4AC19115">
      <w:pPr>
        <w:pStyle w:val="50"/>
        <w:spacing w:line="360" w:lineRule="auto"/>
        <w:ind w:firstLine="0" w:firstLineChars="0"/>
        <w:jc w:val="left"/>
        <w:outlineLvl w:val="1"/>
        <w:rPr>
          <w:rFonts w:hint="default" w:ascii="Times New Roman" w:hAnsi="Times New Roman" w:eastAsia="宋体" w:cs="Times New Roman"/>
          <w:b/>
          <w:sz w:val="28"/>
          <w:szCs w:val="32"/>
        </w:rPr>
      </w:pPr>
      <w:bookmarkStart w:id="70" w:name="_Toc21449"/>
      <w:bookmarkStart w:id="71" w:name="_Toc30755"/>
    </w:p>
    <w:p w14:paraId="2EA45C07">
      <w:pPr>
        <w:pStyle w:val="50"/>
        <w:spacing w:line="360" w:lineRule="auto"/>
        <w:ind w:firstLine="0" w:firstLineChars="0"/>
        <w:jc w:val="left"/>
        <w:outlineLvl w:val="1"/>
        <w:rPr>
          <w:rFonts w:hint="default" w:ascii="Times New Roman" w:hAnsi="Times New Roman" w:eastAsia="宋体" w:cs="Times New Roman"/>
          <w:b/>
          <w:sz w:val="28"/>
          <w:szCs w:val="32"/>
        </w:rPr>
      </w:pPr>
    </w:p>
    <w:p w14:paraId="0DF84168">
      <w:pPr>
        <w:pStyle w:val="50"/>
        <w:spacing w:line="360" w:lineRule="auto"/>
        <w:ind w:firstLine="0" w:firstLineChars="0"/>
        <w:jc w:val="left"/>
        <w:outlineLvl w:val="1"/>
        <w:rPr>
          <w:rFonts w:hint="default" w:ascii="Times New Roman" w:hAnsi="Times New Roman" w:eastAsia="宋体" w:cs="Times New Roman"/>
          <w:b/>
          <w:sz w:val="28"/>
          <w:szCs w:val="32"/>
        </w:rPr>
      </w:pPr>
    </w:p>
    <w:p w14:paraId="42642ED8">
      <w:pPr>
        <w:pStyle w:val="50"/>
        <w:spacing w:line="360" w:lineRule="auto"/>
        <w:ind w:firstLine="0" w:firstLineChars="0"/>
        <w:jc w:val="left"/>
        <w:outlineLvl w:val="1"/>
        <w:rPr>
          <w:rFonts w:hint="default" w:ascii="Times New Roman" w:hAnsi="Times New Roman" w:eastAsia="宋体" w:cs="Times New Roman"/>
          <w:b/>
          <w:sz w:val="28"/>
          <w:szCs w:val="32"/>
        </w:rPr>
      </w:pPr>
    </w:p>
    <w:p w14:paraId="4353F14C">
      <w:pPr>
        <w:pStyle w:val="50"/>
        <w:spacing w:line="360" w:lineRule="auto"/>
        <w:ind w:firstLine="0" w:firstLineChars="0"/>
        <w:jc w:val="left"/>
        <w:outlineLvl w:val="1"/>
        <w:rPr>
          <w:rFonts w:hint="default" w:ascii="Times New Roman" w:hAnsi="Times New Roman" w:eastAsia="宋体" w:cs="Times New Roman"/>
          <w:b/>
          <w:sz w:val="28"/>
          <w:szCs w:val="32"/>
        </w:rPr>
      </w:pPr>
    </w:p>
    <w:p w14:paraId="33CD781F">
      <w:pPr>
        <w:pStyle w:val="50"/>
        <w:spacing w:line="360" w:lineRule="auto"/>
        <w:ind w:firstLine="0" w:firstLineChars="0"/>
        <w:jc w:val="left"/>
        <w:outlineLvl w:val="1"/>
        <w:rPr>
          <w:rFonts w:hint="default" w:ascii="Times New Roman" w:hAnsi="Times New Roman" w:eastAsia="宋体" w:cs="Times New Roman"/>
          <w:b/>
          <w:sz w:val="28"/>
          <w:szCs w:val="32"/>
        </w:rPr>
      </w:pPr>
    </w:p>
    <w:p w14:paraId="71622384">
      <w:pPr>
        <w:pStyle w:val="50"/>
        <w:spacing w:line="360" w:lineRule="auto"/>
        <w:ind w:firstLine="0" w:firstLineChars="0"/>
        <w:jc w:val="left"/>
        <w:outlineLvl w:val="1"/>
        <w:rPr>
          <w:rFonts w:hint="default" w:ascii="Times New Roman" w:hAnsi="Times New Roman" w:eastAsia="宋体" w:cs="Times New Roman"/>
          <w:b/>
          <w:sz w:val="28"/>
          <w:szCs w:val="32"/>
        </w:rPr>
      </w:pPr>
    </w:p>
    <w:p w14:paraId="3C391429">
      <w:pPr>
        <w:pStyle w:val="50"/>
        <w:spacing w:line="360" w:lineRule="auto"/>
        <w:ind w:firstLine="0" w:firstLineChars="0"/>
        <w:jc w:val="left"/>
        <w:outlineLvl w:val="1"/>
        <w:rPr>
          <w:rFonts w:hint="default" w:ascii="Times New Roman" w:hAnsi="Times New Roman" w:eastAsia="宋体" w:cs="Times New Roman"/>
          <w:b/>
          <w:sz w:val="28"/>
          <w:szCs w:val="32"/>
        </w:rPr>
      </w:pPr>
    </w:p>
    <w:p w14:paraId="0AFD4380">
      <w:pPr>
        <w:pStyle w:val="50"/>
        <w:spacing w:line="360" w:lineRule="auto"/>
        <w:ind w:firstLine="0" w:firstLineChars="0"/>
        <w:jc w:val="center"/>
        <w:outlineLvl w:val="1"/>
        <w:rPr>
          <w:rFonts w:hint="default" w:ascii="Times New Roman" w:hAnsi="Times New Roman" w:eastAsia="宋体" w:cs="Times New Roman"/>
          <w:b/>
          <w:sz w:val="28"/>
          <w:szCs w:val="32"/>
          <w:lang w:val="en-US"/>
        </w:rPr>
      </w:pPr>
      <w:r>
        <w:rPr>
          <w:rFonts w:hint="default" w:ascii="Times New Roman" w:hAnsi="Times New Roman" w:eastAsia="宋体" w:cs="Times New Roman"/>
          <w:b/>
          <w:sz w:val="28"/>
          <w:szCs w:val="32"/>
        </w:rPr>
        <w:t>1</w:t>
      </w:r>
      <w:r>
        <w:rPr>
          <w:rFonts w:hint="default" w:ascii="Times New Roman" w:hAnsi="Times New Roman" w:eastAsia="宋体" w:cs="Times New Roman"/>
          <w:b/>
          <w:sz w:val="28"/>
          <w:szCs w:val="32"/>
          <w:lang w:val="en-US" w:eastAsia="zh-CN"/>
        </w:rPr>
        <w:t>1其他说明事项</w:t>
      </w:r>
      <w:bookmarkEnd w:id="70"/>
    </w:p>
    <w:p w14:paraId="620DAFE6">
      <w:pPr>
        <w:spacing w:line="360" w:lineRule="auto"/>
        <w:jc w:val="center"/>
        <w:outlineLvl w:val="0"/>
        <w:rPr>
          <w:rFonts w:hint="default" w:ascii="Times New Roman" w:hAnsi="Times New Roman" w:cs="Times New Roman"/>
          <w:b/>
          <w:sz w:val="32"/>
        </w:rPr>
      </w:pPr>
      <w:bookmarkStart w:id="72" w:name="_Toc6236"/>
      <w:r>
        <w:rPr>
          <w:rFonts w:hint="default" w:ascii="Times New Roman" w:hAnsi="Times New Roman" w:cs="Times New Roman"/>
          <w:b/>
          <w:sz w:val="32"/>
        </w:rPr>
        <w:t>第1章 环境保护设施设计、施工和验收过程简况</w:t>
      </w:r>
      <w:bookmarkEnd w:id="71"/>
      <w:bookmarkEnd w:id="72"/>
    </w:p>
    <w:p w14:paraId="35FC6F5F">
      <w:pPr>
        <w:spacing w:line="360" w:lineRule="auto"/>
        <w:jc w:val="left"/>
        <w:outlineLvl w:val="1"/>
        <w:rPr>
          <w:rFonts w:hint="default" w:ascii="Times New Roman" w:hAnsi="Times New Roman" w:cs="Times New Roman"/>
          <w:b/>
          <w:color w:val="000000"/>
          <w:sz w:val="30"/>
          <w:szCs w:val="30"/>
        </w:rPr>
      </w:pPr>
      <w:bookmarkStart w:id="73" w:name="_Toc28346"/>
      <w:bookmarkStart w:id="74" w:name="_Toc3258"/>
      <w:r>
        <w:rPr>
          <w:rFonts w:hint="default" w:ascii="Times New Roman" w:hAnsi="Times New Roman" w:cs="Times New Roman"/>
          <w:b/>
          <w:color w:val="000000"/>
          <w:sz w:val="30"/>
          <w:szCs w:val="30"/>
        </w:rPr>
        <w:t>1.1设计简况</w:t>
      </w:r>
      <w:bookmarkEnd w:id="73"/>
      <w:bookmarkEnd w:id="74"/>
    </w:p>
    <w:p w14:paraId="76257DD8">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山东瑞盟生物科技有限公司</w:t>
      </w:r>
      <w:r>
        <w:rPr>
          <w:rFonts w:hint="eastAsia" w:ascii="Times New Roman" w:hAnsi="Times New Roman" w:cs="Times New Roman"/>
          <w:sz w:val="24"/>
          <w:szCs w:val="24"/>
          <w:lang w:val="en-US" w:eastAsia="zh-CN"/>
        </w:rPr>
        <w:t>年产20000吨食品添加剂项目（一期）</w:t>
      </w:r>
      <w:r>
        <w:rPr>
          <w:rFonts w:hint="default" w:ascii="Times New Roman" w:hAnsi="Times New Roman" w:cs="Times New Roman"/>
          <w:sz w:val="24"/>
          <w:szCs w:val="24"/>
        </w:rPr>
        <w:t>的环境保护设施已纳入了初步设计，环境保护设施的设计符合环境保护设计规范的要求，落实了防治污染和生态破环的措施以及环境保护设施投资概算。</w:t>
      </w:r>
    </w:p>
    <w:p w14:paraId="03F64D2A">
      <w:pPr>
        <w:spacing w:line="360" w:lineRule="auto"/>
        <w:jc w:val="left"/>
        <w:outlineLvl w:val="1"/>
        <w:rPr>
          <w:rFonts w:hint="default" w:ascii="Times New Roman" w:hAnsi="Times New Roman" w:eastAsia="宋体" w:cs="Times New Roman"/>
          <w:b/>
          <w:color w:val="000000"/>
          <w:sz w:val="28"/>
          <w:szCs w:val="28"/>
        </w:rPr>
      </w:pPr>
      <w:bookmarkStart w:id="75" w:name="_Toc15764"/>
      <w:bookmarkStart w:id="76" w:name="_Toc19405"/>
      <w:r>
        <w:rPr>
          <w:rFonts w:hint="default" w:ascii="Times New Roman" w:hAnsi="Times New Roman" w:eastAsia="宋体" w:cs="Times New Roman"/>
          <w:b/>
          <w:color w:val="000000"/>
          <w:sz w:val="28"/>
          <w:szCs w:val="28"/>
        </w:rPr>
        <w:t>1.2施工简况</w:t>
      </w:r>
      <w:bookmarkEnd w:id="75"/>
      <w:bookmarkEnd w:id="76"/>
    </w:p>
    <w:p w14:paraId="123F9DD0">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本项目施工过程中落实了环境影响报告表及</w:t>
      </w:r>
      <w:r>
        <w:rPr>
          <w:rFonts w:hint="default" w:ascii="Times New Roman" w:hAnsi="Times New Roman" w:eastAsia="宋体" w:cs="Times New Roman"/>
          <w:color w:val="000000"/>
          <w:sz w:val="24"/>
          <w:szCs w:val="28"/>
          <w:lang w:val="en-US" w:eastAsia="zh-CN"/>
        </w:rPr>
        <w:t>菏泽市生态环境局</w:t>
      </w:r>
      <w:r>
        <w:rPr>
          <w:rFonts w:hint="eastAsia" w:ascii="Times New Roman" w:hAnsi="Times New Roman" w:eastAsia="宋体" w:cs="Times New Roman"/>
          <w:color w:val="000000"/>
          <w:sz w:val="24"/>
          <w:szCs w:val="28"/>
          <w:lang w:val="en-US" w:eastAsia="zh-CN"/>
        </w:rPr>
        <w:t>成武</w:t>
      </w:r>
      <w:r>
        <w:rPr>
          <w:rFonts w:hint="default" w:ascii="Times New Roman" w:hAnsi="Times New Roman" w:eastAsia="宋体" w:cs="Times New Roman"/>
          <w:color w:val="000000"/>
          <w:sz w:val="24"/>
          <w:szCs w:val="28"/>
          <w:lang w:val="en-US" w:eastAsia="zh-CN"/>
        </w:rPr>
        <w:t>分局批复中</w:t>
      </w:r>
      <w:r>
        <w:rPr>
          <w:rFonts w:hint="default" w:ascii="Times New Roman" w:hAnsi="Times New Roman" w:eastAsia="宋体" w:cs="Times New Roman"/>
          <w:color w:val="000000"/>
          <w:sz w:val="24"/>
          <w:szCs w:val="28"/>
          <w:lang w:eastAsia="zh-CN"/>
        </w:rPr>
        <w:t>对该项目的环境影响报告表进行批复中提出的环境保护对策措施。</w:t>
      </w:r>
    </w:p>
    <w:p w14:paraId="248ACAB6">
      <w:pPr>
        <w:spacing w:line="360" w:lineRule="auto"/>
        <w:jc w:val="left"/>
        <w:outlineLvl w:val="1"/>
        <w:rPr>
          <w:rFonts w:hint="default" w:ascii="Times New Roman" w:hAnsi="Times New Roman" w:eastAsia="宋体" w:cs="Times New Roman"/>
          <w:b/>
          <w:color w:val="auto"/>
          <w:sz w:val="28"/>
          <w:szCs w:val="28"/>
          <w:lang w:val="en-US" w:eastAsia="zh-CN"/>
        </w:rPr>
      </w:pPr>
      <w:bookmarkStart w:id="77" w:name="_Toc21177"/>
      <w:bookmarkStart w:id="78" w:name="_Toc25306"/>
      <w:r>
        <w:rPr>
          <w:rFonts w:hint="default" w:ascii="Times New Roman" w:hAnsi="Times New Roman" w:eastAsia="宋体" w:cs="Times New Roman"/>
          <w:b/>
          <w:color w:val="000000"/>
          <w:sz w:val="28"/>
          <w:szCs w:val="28"/>
        </w:rPr>
        <w:t>1.3验收过程简况</w:t>
      </w:r>
      <w:bookmarkEnd w:id="77"/>
      <w:bookmarkEnd w:id="78"/>
      <w:r>
        <w:rPr>
          <w:rFonts w:hint="default" w:ascii="Times New Roman" w:hAnsi="Times New Roman" w:eastAsia="宋体" w:cs="Times New Roman"/>
          <w:b/>
          <w:color w:val="000000"/>
          <w:sz w:val="28"/>
          <w:szCs w:val="28"/>
          <w:lang w:val="en-US" w:eastAsia="zh-CN"/>
        </w:rPr>
        <w:t xml:space="preserve"> </w:t>
      </w:r>
    </w:p>
    <w:p w14:paraId="031C2847">
      <w:pPr>
        <w:spacing w:line="360" w:lineRule="auto"/>
        <w:ind w:firstLine="480" w:firstLineChars="200"/>
        <w:rPr>
          <w:rFonts w:hint="default" w:ascii="Times New Roman" w:hAnsi="Times New Roman" w:eastAsia="宋体" w:cs="Times New Roman"/>
          <w:color w:val="auto"/>
          <w:sz w:val="24"/>
          <w:szCs w:val="28"/>
          <w:lang w:eastAsia="zh-CN"/>
        </w:rPr>
      </w:pPr>
      <w:r>
        <w:rPr>
          <w:rFonts w:hint="eastAsia" w:ascii="Times New Roman" w:hAnsi="Times New Roman" w:cs="Times New Roman"/>
          <w:color w:val="auto"/>
          <w:sz w:val="24"/>
          <w:szCs w:val="24"/>
          <w:lang w:eastAsia="zh-CN"/>
        </w:rPr>
        <w:t>山东瑞盟生物科技有限公司年产</w:t>
      </w:r>
      <w:r>
        <w:rPr>
          <w:rFonts w:hint="eastAsia" w:ascii="Times New Roman" w:hAnsi="Times New Roman" w:cs="Times New Roman"/>
          <w:color w:val="auto"/>
          <w:sz w:val="24"/>
          <w:szCs w:val="24"/>
          <w:lang w:val="en-US" w:eastAsia="zh-CN"/>
        </w:rPr>
        <w:t>20000吨食品添加剂</w:t>
      </w:r>
      <w:r>
        <w:rPr>
          <w:rFonts w:hint="eastAsia" w:ascii="Times New Roman" w:hAnsi="Times New Roman" w:cs="Times New Roman"/>
          <w:color w:val="auto"/>
          <w:sz w:val="24"/>
          <w:szCs w:val="24"/>
          <w:lang w:eastAsia="zh-CN"/>
        </w:rPr>
        <w:t>项目</w:t>
      </w:r>
      <w:r>
        <w:rPr>
          <w:rFonts w:hint="default" w:ascii="Times New Roman" w:hAnsi="Times New Roman" w:eastAsia="宋体" w:cs="Times New Roman"/>
          <w:color w:val="auto"/>
          <w:sz w:val="24"/>
          <w:szCs w:val="28"/>
          <w:lang w:eastAsia="zh-CN"/>
        </w:rPr>
        <w:t>验收时间为20</w:t>
      </w:r>
      <w:r>
        <w:rPr>
          <w:rFonts w:hint="default" w:ascii="Times New Roman" w:hAnsi="Times New Roman" w:eastAsia="宋体" w:cs="Times New Roman"/>
          <w:color w:val="auto"/>
          <w:sz w:val="24"/>
          <w:szCs w:val="28"/>
          <w:lang w:val="en-US" w:eastAsia="zh-CN"/>
        </w:rPr>
        <w:t>2</w:t>
      </w:r>
      <w:r>
        <w:rPr>
          <w:rFonts w:hint="eastAsia" w:ascii="Times New Roman" w:hAnsi="Times New Roman" w:eastAsia="宋体" w:cs="Times New Roman"/>
          <w:color w:val="auto"/>
          <w:sz w:val="24"/>
          <w:szCs w:val="28"/>
          <w:lang w:val="en-US" w:eastAsia="zh-CN"/>
        </w:rPr>
        <w:t>5</w:t>
      </w:r>
      <w:r>
        <w:rPr>
          <w:rFonts w:hint="default" w:ascii="Times New Roman" w:hAnsi="Times New Roman" w:eastAsia="宋体" w:cs="Times New Roman"/>
          <w:color w:val="auto"/>
          <w:sz w:val="24"/>
          <w:szCs w:val="28"/>
          <w:lang w:eastAsia="zh-CN"/>
        </w:rPr>
        <w:t>年</w:t>
      </w:r>
      <w:r>
        <w:rPr>
          <w:rFonts w:hint="eastAsia" w:ascii="Times New Roman" w:hAnsi="Times New Roman" w:eastAsia="宋体" w:cs="Times New Roman"/>
          <w:color w:val="auto"/>
          <w:sz w:val="24"/>
          <w:szCs w:val="28"/>
          <w:lang w:val="en-US" w:eastAsia="zh-CN"/>
        </w:rPr>
        <w:t>3</w:t>
      </w:r>
      <w:r>
        <w:rPr>
          <w:rFonts w:hint="default" w:ascii="Times New Roman" w:hAnsi="Times New Roman" w:eastAsia="宋体" w:cs="Times New Roman"/>
          <w:color w:val="auto"/>
          <w:sz w:val="24"/>
          <w:szCs w:val="28"/>
          <w:lang w:eastAsia="zh-CN"/>
        </w:rPr>
        <w:t>月</w:t>
      </w:r>
      <w:r>
        <w:rPr>
          <w:rFonts w:hint="eastAsia" w:ascii="Times New Roman" w:hAnsi="Times New Roman" w:eastAsia="宋体" w:cs="Times New Roman"/>
          <w:color w:val="auto"/>
          <w:sz w:val="24"/>
          <w:szCs w:val="28"/>
          <w:lang w:val="en-US" w:eastAsia="zh-CN"/>
        </w:rPr>
        <w:t>2</w:t>
      </w:r>
      <w:r>
        <w:rPr>
          <w:rFonts w:hint="default" w:ascii="Times New Roman" w:hAnsi="Times New Roman" w:eastAsia="宋体" w:cs="Times New Roman"/>
          <w:color w:val="auto"/>
          <w:sz w:val="24"/>
          <w:szCs w:val="28"/>
          <w:lang w:val="en-US" w:eastAsia="zh-CN"/>
        </w:rPr>
        <w:t>日</w:t>
      </w:r>
      <w:r>
        <w:rPr>
          <w:rFonts w:hint="default" w:ascii="Times New Roman" w:hAnsi="Times New Roman" w:eastAsia="宋体" w:cs="Times New Roman"/>
          <w:color w:val="auto"/>
          <w:sz w:val="24"/>
          <w:szCs w:val="28"/>
          <w:lang w:eastAsia="zh-CN"/>
        </w:rPr>
        <w:t>。</w:t>
      </w:r>
    </w:p>
    <w:p w14:paraId="08C19A9A">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auto"/>
          <w:sz w:val="24"/>
          <w:szCs w:val="28"/>
          <w:lang w:eastAsia="zh-CN"/>
        </w:rPr>
        <w:t>202</w:t>
      </w:r>
      <w:r>
        <w:rPr>
          <w:rFonts w:hint="eastAsia" w:ascii="Times New Roman" w:hAnsi="Times New Roman" w:eastAsia="宋体" w:cs="Times New Roman"/>
          <w:color w:val="auto"/>
          <w:sz w:val="24"/>
          <w:szCs w:val="28"/>
          <w:lang w:val="en-US" w:eastAsia="zh-CN"/>
        </w:rPr>
        <w:t>5</w:t>
      </w:r>
      <w:r>
        <w:rPr>
          <w:rFonts w:hint="default" w:ascii="Times New Roman" w:hAnsi="Times New Roman" w:eastAsia="宋体" w:cs="Times New Roman"/>
          <w:color w:val="auto"/>
          <w:sz w:val="24"/>
          <w:szCs w:val="28"/>
          <w:lang w:eastAsia="zh-CN"/>
        </w:rPr>
        <w:t>年</w:t>
      </w:r>
      <w:r>
        <w:rPr>
          <w:rFonts w:hint="eastAsia" w:ascii="Times New Roman" w:hAnsi="Times New Roman" w:eastAsia="宋体" w:cs="Times New Roman"/>
          <w:color w:val="auto"/>
          <w:sz w:val="24"/>
          <w:szCs w:val="28"/>
          <w:lang w:val="en-US" w:eastAsia="zh-CN"/>
        </w:rPr>
        <w:t>3</w:t>
      </w:r>
      <w:r>
        <w:rPr>
          <w:rFonts w:hint="default" w:ascii="Times New Roman" w:hAnsi="Times New Roman" w:eastAsia="宋体" w:cs="Times New Roman"/>
          <w:color w:val="auto"/>
          <w:sz w:val="24"/>
          <w:szCs w:val="28"/>
          <w:lang w:eastAsia="zh-CN"/>
        </w:rPr>
        <w:t>月</w:t>
      </w:r>
      <w:r>
        <w:rPr>
          <w:rFonts w:hint="eastAsia" w:ascii="Times New Roman" w:hAnsi="Times New Roman" w:eastAsia="宋体" w:cs="Times New Roman"/>
          <w:color w:val="auto"/>
          <w:sz w:val="24"/>
          <w:szCs w:val="28"/>
          <w:lang w:val="en-US" w:eastAsia="zh-CN"/>
        </w:rPr>
        <w:t>2</w:t>
      </w:r>
      <w:r>
        <w:rPr>
          <w:rFonts w:hint="default" w:ascii="Times New Roman" w:hAnsi="Times New Roman" w:eastAsia="宋体" w:cs="Times New Roman"/>
          <w:color w:val="auto"/>
          <w:sz w:val="24"/>
          <w:szCs w:val="28"/>
          <w:lang w:eastAsia="zh-CN"/>
        </w:rPr>
        <w:t>日，</w:t>
      </w:r>
      <w:r>
        <w:rPr>
          <w:rFonts w:hint="eastAsia" w:ascii="Times New Roman" w:hAnsi="Times New Roman" w:eastAsia="宋体" w:cs="Times New Roman"/>
          <w:color w:val="auto"/>
          <w:sz w:val="24"/>
          <w:szCs w:val="24"/>
          <w:lang w:eastAsia="zh-CN"/>
        </w:rPr>
        <w:t>山东瑞盟生物科技有限公司</w:t>
      </w:r>
      <w:r>
        <w:rPr>
          <w:rFonts w:hint="default" w:ascii="Times New Roman" w:hAnsi="Times New Roman" w:eastAsia="宋体" w:cs="Times New Roman"/>
          <w:color w:val="000000"/>
          <w:sz w:val="24"/>
          <w:szCs w:val="28"/>
          <w:lang w:eastAsia="zh-CN"/>
        </w:rPr>
        <w:t>组织召开</w:t>
      </w:r>
      <w:r>
        <w:rPr>
          <w:rFonts w:hint="eastAsia" w:ascii="Times New Roman" w:hAnsi="Times New Roman" w:eastAsia="宋体" w:cs="Times New Roman"/>
          <w:color w:val="000000"/>
          <w:sz w:val="24"/>
          <w:szCs w:val="28"/>
          <w:lang w:eastAsia="zh-CN"/>
        </w:rPr>
        <w:t>年产20000吨食品添加剂项目（一期）</w:t>
      </w:r>
      <w:r>
        <w:rPr>
          <w:rFonts w:hint="default" w:ascii="Times New Roman" w:hAnsi="Times New Roman" w:eastAsia="宋体" w:cs="Times New Roman"/>
          <w:color w:val="000000"/>
          <w:sz w:val="24"/>
          <w:szCs w:val="28"/>
          <w:lang w:eastAsia="zh-CN"/>
        </w:rPr>
        <w:t>竣工环境保护验收会。验收工作组由</w:t>
      </w:r>
      <w:r>
        <w:rPr>
          <w:rFonts w:hint="eastAsia" w:ascii="Times New Roman" w:hAnsi="Times New Roman" w:eastAsia="宋体" w:cs="Times New Roman"/>
          <w:sz w:val="24"/>
          <w:szCs w:val="24"/>
          <w:lang w:eastAsia="zh-CN"/>
        </w:rPr>
        <w:t>山东瑞盟生物科技有限公司</w:t>
      </w:r>
      <w:r>
        <w:rPr>
          <w:rFonts w:hint="default" w:ascii="Times New Roman" w:hAnsi="Times New Roman" w:eastAsia="宋体" w:cs="Times New Roman"/>
          <w:color w:val="000000"/>
          <w:sz w:val="24"/>
          <w:szCs w:val="28"/>
          <w:lang w:eastAsia="zh-CN"/>
        </w:rPr>
        <w:t>代表、验收检测单位（</w:t>
      </w:r>
      <w:r>
        <w:rPr>
          <w:rFonts w:hint="eastAsia" w:ascii="Times New Roman" w:hAnsi="Times New Roman" w:eastAsia="宋体" w:cs="Times New Roman"/>
          <w:color w:val="000000"/>
          <w:sz w:val="24"/>
          <w:szCs w:val="28"/>
          <w:lang w:val="en-US" w:eastAsia="zh-CN"/>
        </w:rPr>
        <w:t>山东天智环境监测有限公司</w:t>
      </w:r>
      <w:r>
        <w:rPr>
          <w:rFonts w:hint="default" w:ascii="Times New Roman" w:hAnsi="Times New Roman" w:eastAsia="宋体" w:cs="Times New Roman"/>
          <w:color w:val="000000"/>
          <w:sz w:val="24"/>
          <w:szCs w:val="28"/>
          <w:lang w:eastAsia="zh-CN"/>
        </w:rPr>
        <w:t>）代表组成。</w:t>
      </w:r>
    </w:p>
    <w:p w14:paraId="6EB54CE5">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验收工作组现场检查了有关环境保护设施的建设和运行情况，听取了</w:t>
      </w:r>
      <w:r>
        <w:rPr>
          <w:rFonts w:hint="eastAsia" w:ascii="Times New Roman" w:hAnsi="Times New Roman" w:eastAsia="宋体" w:cs="Times New Roman"/>
          <w:sz w:val="24"/>
          <w:szCs w:val="24"/>
          <w:lang w:eastAsia="zh-CN"/>
        </w:rPr>
        <w:t>山东瑞盟生物科技有限公司</w:t>
      </w:r>
      <w:r>
        <w:rPr>
          <w:rFonts w:hint="default" w:ascii="Times New Roman" w:hAnsi="Times New Roman" w:eastAsia="宋体" w:cs="Times New Roman"/>
          <w:color w:val="000000"/>
          <w:sz w:val="24"/>
          <w:szCs w:val="28"/>
          <w:lang w:eastAsia="zh-CN"/>
        </w:rPr>
        <w:t>对项目环境保护执行情况的介绍和</w:t>
      </w:r>
      <w:r>
        <w:rPr>
          <w:rFonts w:hint="eastAsia" w:ascii="Times New Roman" w:hAnsi="Times New Roman" w:eastAsia="宋体" w:cs="Times New Roman"/>
          <w:color w:val="000000"/>
          <w:sz w:val="24"/>
          <w:szCs w:val="28"/>
          <w:lang w:val="en-US" w:eastAsia="zh-CN"/>
        </w:rPr>
        <w:t>山东天智环境监测有限公司</w:t>
      </w:r>
      <w:r>
        <w:rPr>
          <w:rFonts w:hint="default" w:ascii="Times New Roman" w:hAnsi="Times New Roman" w:eastAsia="宋体" w:cs="Times New Roman"/>
          <w:color w:val="000000"/>
          <w:sz w:val="24"/>
          <w:szCs w:val="28"/>
          <w:lang w:eastAsia="zh-CN"/>
        </w:rPr>
        <w:t>对该项目竣工环境保护验收检测的汇报。</w:t>
      </w:r>
    </w:p>
    <w:p w14:paraId="7258965C">
      <w:pPr>
        <w:spacing w:line="360" w:lineRule="auto"/>
        <w:jc w:val="left"/>
        <w:outlineLvl w:val="1"/>
        <w:rPr>
          <w:rFonts w:hint="default" w:ascii="Times New Roman" w:hAnsi="Times New Roman" w:eastAsia="宋体" w:cs="Times New Roman"/>
          <w:b/>
          <w:color w:val="000000"/>
          <w:sz w:val="28"/>
          <w:szCs w:val="28"/>
        </w:rPr>
      </w:pPr>
      <w:bookmarkStart w:id="79" w:name="_Toc26487"/>
      <w:bookmarkStart w:id="80" w:name="_Toc124"/>
      <w:r>
        <w:rPr>
          <w:rFonts w:hint="default" w:ascii="Times New Roman" w:hAnsi="Times New Roman" w:eastAsia="宋体" w:cs="Times New Roman"/>
          <w:b/>
          <w:color w:val="000000"/>
          <w:sz w:val="28"/>
          <w:szCs w:val="28"/>
        </w:rPr>
        <w:t>1.4公众反馈意见及处理情况</w:t>
      </w:r>
      <w:bookmarkEnd w:id="79"/>
      <w:bookmarkEnd w:id="80"/>
    </w:p>
    <w:p w14:paraId="0B2E8FF6">
      <w:pPr>
        <w:spacing w:line="360" w:lineRule="auto"/>
        <w:ind w:firstLine="480" w:firstLineChars="200"/>
        <w:rPr>
          <w:rFonts w:hint="default" w:ascii="Times New Roman" w:hAnsi="Times New Roman" w:eastAsia="宋体" w:cs="Times New Roman"/>
          <w:color w:val="000000"/>
          <w:sz w:val="24"/>
          <w:szCs w:val="28"/>
          <w:lang w:eastAsia="zh-CN"/>
        </w:rPr>
        <w:sectPr>
          <w:pgSz w:w="11906" w:h="16838"/>
          <w:pgMar w:top="1440" w:right="1418" w:bottom="1440" w:left="1418" w:header="851" w:footer="992" w:gutter="0"/>
          <w:pgNumType w:fmt="decimal"/>
          <w:cols w:space="720" w:num="1"/>
          <w:docGrid w:linePitch="381" w:charSpace="0"/>
        </w:sectPr>
      </w:pPr>
      <w:r>
        <w:rPr>
          <w:rFonts w:hint="default" w:ascii="Times New Roman" w:hAnsi="Times New Roman" w:eastAsia="宋体" w:cs="Times New Roman"/>
          <w:color w:val="000000"/>
          <w:sz w:val="24"/>
          <w:szCs w:val="28"/>
          <w:lang w:eastAsia="zh-CN"/>
        </w:rPr>
        <w:t>本项目设计、施工、验收和公示期间没有收到过公众反馈意见或投诉。</w:t>
      </w:r>
    </w:p>
    <w:p w14:paraId="4AA26549">
      <w:pPr>
        <w:spacing w:line="360" w:lineRule="auto"/>
        <w:jc w:val="both"/>
        <w:outlineLvl w:val="0"/>
        <w:rPr>
          <w:rFonts w:hint="default" w:ascii="Times New Roman" w:hAnsi="Times New Roman" w:eastAsia="宋体" w:cs="Times New Roman"/>
          <w:b/>
          <w:sz w:val="28"/>
          <w:szCs w:val="28"/>
        </w:rPr>
      </w:pPr>
      <w:bookmarkStart w:id="81" w:name="_Toc2792"/>
      <w:bookmarkStart w:id="82" w:name="_Toc30312"/>
      <w:r>
        <w:rPr>
          <w:rFonts w:hint="default" w:ascii="Times New Roman" w:hAnsi="Times New Roman" w:eastAsia="宋体" w:cs="Times New Roman"/>
          <w:b/>
          <w:sz w:val="28"/>
          <w:szCs w:val="28"/>
        </w:rPr>
        <w:t>第2章 其他环境保护措施的落实情况</w:t>
      </w:r>
      <w:bookmarkEnd w:id="81"/>
      <w:bookmarkEnd w:id="82"/>
    </w:p>
    <w:p w14:paraId="3C425392">
      <w:pPr>
        <w:spacing w:line="360" w:lineRule="auto"/>
        <w:jc w:val="left"/>
        <w:outlineLvl w:val="1"/>
        <w:rPr>
          <w:rFonts w:hint="default" w:ascii="Times New Roman" w:hAnsi="Times New Roman" w:eastAsia="宋体" w:cs="Times New Roman"/>
          <w:b/>
          <w:color w:val="000000"/>
          <w:sz w:val="28"/>
          <w:szCs w:val="28"/>
        </w:rPr>
      </w:pPr>
      <w:bookmarkStart w:id="83" w:name="_Toc664"/>
      <w:bookmarkStart w:id="84" w:name="_Toc8453"/>
      <w:r>
        <w:rPr>
          <w:rFonts w:hint="default" w:ascii="Times New Roman" w:hAnsi="Times New Roman" w:eastAsia="宋体" w:cs="Times New Roman"/>
          <w:b/>
          <w:color w:val="000000"/>
          <w:sz w:val="28"/>
          <w:szCs w:val="28"/>
        </w:rPr>
        <w:t>2.1制度措施落实情况</w:t>
      </w:r>
      <w:bookmarkEnd w:id="83"/>
      <w:bookmarkEnd w:id="84"/>
    </w:p>
    <w:p w14:paraId="66FEB659">
      <w:pPr>
        <w:spacing w:line="360" w:lineRule="auto"/>
        <w:ind w:firstLine="56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8"/>
          <w:szCs w:val="28"/>
        </w:rPr>
        <w:t>1、</w:t>
      </w:r>
      <w:r>
        <w:rPr>
          <w:rFonts w:hint="default" w:ascii="Times New Roman" w:hAnsi="Times New Roman" w:eastAsia="宋体" w:cs="Times New Roman"/>
          <w:color w:val="000000"/>
          <w:sz w:val="24"/>
          <w:szCs w:val="28"/>
        </w:rPr>
        <w:t>环保组织机构及规章制度</w:t>
      </w:r>
    </w:p>
    <w:p w14:paraId="7618E458">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公司实行环境保护</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一把手</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负责制，对本单位环境保护工作全负责。设置安环部</w:t>
      </w:r>
      <w:r>
        <w:rPr>
          <w:rFonts w:hint="default" w:ascii="Times New Roman" w:hAnsi="Times New Roman" w:eastAsia="宋体" w:cs="Times New Roman"/>
          <w:bCs/>
          <w:sz w:val="24"/>
          <w:lang w:val="en-US" w:eastAsia="zh-CN"/>
        </w:rPr>
        <w:t>南经理</w:t>
      </w:r>
      <w:r>
        <w:rPr>
          <w:rFonts w:hint="default" w:ascii="Times New Roman" w:hAnsi="Times New Roman" w:eastAsia="宋体" w:cs="Times New Roman"/>
          <w:bCs/>
          <w:sz w:val="24"/>
        </w:rPr>
        <w:t>是本单位环境保护的第一责任人，对各车间的、单体环境保护工作总负责。</w:t>
      </w:r>
    </w:p>
    <w:p w14:paraId="6E6311BA">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公司制定了环境保护责任制管理规定，并编制了具体的环保管理制度和规定，主要包括环境保护机构与管理职责、防治污染的管理规定、建设项目管理规定、环境检测管理规定、环保设施管理规定、污染事故管理规定等方面的内容，具体见表1</w:t>
      </w:r>
      <w:r>
        <w:rPr>
          <w:rFonts w:hint="default" w:ascii="Times New Roman" w:hAnsi="Times New Roman" w:eastAsia="宋体" w:cs="Times New Roman"/>
          <w:bCs/>
          <w:sz w:val="24"/>
          <w:lang w:val="en-US" w:eastAsia="zh-CN"/>
        </w:rPr>
        <w:t>1</w:t>
      </w:r>
      <w:r>
        <w:rPr>
          <w:rFonts w:hint="default" w:ascii="Times New Roman" w:hAnsi="Times New Roman" w:eastAsia="宋体" w:cs="Times New Roman"/>
          <w:bCs/>
          <w:sz w:val="24"/>
        </w:rPr>
        <w:t>-1。</w:t>
      </w:r>
    </w:p>
    <w:p w14:paraId="4AB86A99">
      <w:pPr>
        <w:spacing w:line="240" w:lineRule="atLeast"/>
        <w:jc w:val="center"/>
        <w:rPr>
          <w:rFonts w:hint="default" w:ascii="Times New Roman" w:hAnsi="Times New Roman" w:eastAsia="宋体" w:cs="Times New Roman"/>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rPr>
        <w:t>1-1  现有环境管理规章制度一览表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6906"/>
      </w:tblGrid>
      <w:tr w14:paraId="13FE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2B38124E">
            <w:pPr>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序号</w:t>
            </w:r>
          </w:p>
        </w:tc>
        <w:tc>
          <w:tcPr>
            <w:tcW w:w="3797" w:type="pct"/>
            <w:shd w:val="clear" w:color="auto" w:fill="auto"/>
            <w:noWrap w:val="0"/>
            <w:vAlign w:val="center"/>
          </w:tcPr>
          <w:p w14:paraId="5A4C0C6A">
            <w:pPr>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规章制度</w:t>
            </w:r>
          </w:p>
        </w:tc>
      </w:tr>
      <w:tr w14:paraId="7DF0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4F2C81A0">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3797" w:type="pct"/>
            <w:shd w:val="clear" w:color="auto" w:fill="auto"/>
            <w:noWrap w:val="0"/>
            <w:vAlign w:val="center"/>
          </w:tcPr>
          <w:p w14:paraId="571032C4">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环境保护管理规定</w:t>
            </w:r>
          </w:p>
        </w:tc>
      </w:tr>
      <w:tr w14:paraId="3C14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3B457F38">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3797" w:type="pct"/>
            <w:shd w:val="clear" w:color="auto" w:fill="auto"/>
            <w:noWrap w:val="0"/>
            <w:vAlign w:val="center"/>
          </w:tcPr>
          <w:p w14:paraId="5D373254">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停</w:t>
            </w:r>
            <w:r>
              <w:rPr>
                <w:rFonts w:hint="default" w:ascii="Times New Roman" w:hAnsi="Times New Roman" w:eastAsia="宋体" w:cs="Times New Roman"/>
                <w:kern w:val="0"/>
                <w:szCs w:val="21"/>
                <w:lang w:val="en-US" w:eastAsia="zh-CN"/>
              </w:rPr>
              <w:t>工</w:t>
            </w:r>
            <w:r>
              <w:rPr>
                <w:rFonts w:hint="default" w:ascii="Times New Roman" w:hAnsi="Times New Roman" w:eastAsia="宋体" w:cs="Times New Roman"/>
                <w:kern w:val="0"/>
                <w:szCs w:val="21"/>
              </w:rPr>
              <w:t>检修环境保护管理规定</w:t>
            </w:r>
          </w:p>
        </w:tc>
      </w:tr>
      <w:tr w14:paraId="4301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33F8DBE2">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3797" w:type="pct"/>
            <w:shd w:val="clear" w:color="auto" w:fill="auto"/>
            <w:noWrap w:val="0"/>
            <w:vAlign w:val="center"/>
          </w:tcPr>
          <w:p w14:paraId="7F98CAE5">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环境保护奖惩规定</w:t>
            </w:r>
          </w:p>
        </w:tc>
      </w:tr>
      <w:tr w14:paraId="658F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306407EF">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3797" w:type="pct"/>
            <w:shd w:val="clear" w:color="auto" w:fill="auto"/>
            <w:noWrap w:val="0"/>
            <w:vAlign w:val="center"/>
          </w:tcPr>
          <w:p w14:paraId="6C1F26AA">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工业固体废物管理规定</w:t>
            </w:r>
          </w:p>
        </w:tc>
      </w:tr>
      <w:tr w14:paraId="6AD0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4B32DFE0">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3797" w:type="pct"/>
            <w:shd w:val="clear" w:color="auto" w:fill="auto"/>
            <w:noWrap w:val="0"/>
            <w:vAlign w:val="center"/>
          </w:tcPr>
          <w:p w14:paraId="4F2E56EC">
            <w:pPr>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eastAsia="zh-CN"/>
              </w:rPr>
              <w:t>“</w:t>
            </w:r>
            <w:r>
              <w:rPr>
                <w:rFonts w:hint="default" w:ascii="Times New Roman" w:hAnsi="Times New Roman" w:eastAsia="宋体" w:cs="Times New Roman"/>
                <w:kern w:val="0"/>
                <w:szCs w:val="21"/>
              </w:rPr>
              <w:t>三废</w:t>
            </w:r>
            <w:r>
              <w:rPr>
                <w:rFonts w:hint="eastAsia" w:ascii="Times New Roman" w:hAnsi="Times New Roman" w:eastAsia="宋体" w:cs="Times New Roman"/>
                <w:kern w:val="0"/>
                <w:szCs w:val="21"/>
                <w:lang w:eastAsia="zh-CN"/>
              </w:rPr>
              <w:t>”</w:t>
            </w:r>
            <w:r>
              <w:rPr>
                <w:rFonts w:hint="default" w:ascii="Times New Roman" w:hAnsi="Times New Roman" w:eastAsia="宋体" w:cs="Times New Roman"/>
                <w:kern w:val="0"/>
                <w:szCs w:val="21"/>
              </w:rPr>
              <w:t>资源综合利用管理规定</w:t>
            </w:r>
          </w:p>
        </w:tc>
      </w:tr>
      <w:tr w14:paraId="6774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7572096E">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3797" w:type="pct"/>
            <w:shd w:val="clear" w:color="auto" w:fill="auto"/>
            <w:noWrap w:val="0"/>
            <w:vAlign w:val="center"/>
          </w:tcPr>
          <w:p w14:paraId="54F12628">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环境监测管理规定</w:t>
            </w:r>
          </w:p>
        </w:tc>
      </w:tr>
      <w:tr w14:paraId="7CF6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60273F25">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3797" w:type="pct"/>
            <w:shd w:val="clear" w:color="auto" w:fill="auto"/>
            <w:noWrap w:val="0"/>
            <w:vAlign w:val="center"/>
          </w:tcPr>
          <w:p w14:paraId="5BC20702">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废水排放管理规定</w:t>
            </w:r>
          </w:p>
        </w:tc>
      </w:tr>
      <w:tr w14:paraId="056D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798E1F53">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3797" w:type="pct"/>
            <w:shd w:val="clear" w:color="auto" w:fill="auto"/>
            <w:noWrap w:val="0"/>
            <w:vAlign w:val="center"/>
          </w:tcPr>
          <w:p w14:paraId="53F1DC83">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危险废物管理制度</w:t>
            </w:r>
          </w:p>
        </w:tc>
      </w:tr>
      <w:tr w14:paraId="0AC9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69BFB547">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3797" w:type="pct"/>
            <w:shd w:val="clear" w:color="auto" w:fill="auto"/>
            <w:noWrap w:val="0"/>
            <w:vAlign w:val="center"/>
          </w:tcPr>
          <w:p w14:paraId="4CD92071">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危废废物污染防治工作责任制</w:t>
            </w:r>
          </w:p>
        </w:tc>
      </w:tr>
      <w:tr w14:paraId="33B6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68B3F8CA">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3797" w:type="pct"/>
            <w:shd w:val="clear" w:color="auto" w:fill="auto"/>
            <w:noWrap w:val="0"/>
            <w:vAlign w:val="center"/>
          </w:tcPr>
          <w:p w14:paraId="5EA21C60">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人员危险废物污染防治工作责任制</w:t>
            </w:r>
          </w:p>
        </w:tc>
      </w:tr>
      <w:tr w14:paraId="31A1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54A9E140">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3797" w:type="pct"/>
            <w:shd w:val="clear" w:color="auto" w:fill="auto"/>
            <w:noWrap w:val="0"/>
            <w:vAlign w:val="center"/>
          </w:tcPr>
          <w:p w14:paraId="467751B7">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部门危险废物污染防治工作责任制</w:t>
            </w:r>
          </w:p>
        </w:tc>
      </w:tr>
      <w:tr w14:paraId="0ED6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14:paraId="16FEDCFE">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3797" w:type="pct"/>
            <w:shd w:val="clear" w:color="auto" w:fill="auto"/>
            <w:noWrap w:val="0"/>
            <w:vAlign w:val="center"/>
          </w:tcPr>
          <w:p w14:paraId="42885847">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清洁生产管理制度</w:t>
            </w:r>
          </w:p>
        </w:tc>
      </w:tr>
    </w:tbl>
    <w:p w14:paraId="12A45739">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2、环境风险防范措施</w:t>
      </w:r>
    </w:p>
    <w:p w14:paraId="600A40F7">
      <w:pPr>
        <w:spacing w:line="360" w:lineRule="auto"/>
        <w:ind w:firstLine="480" w:firstLineChars="200"/>
        <w:rPr>
          <w:rFonts w:hint="default" w:ascii="Times New Roman" w:hAnsi="Times New Roman" w:eastAsia="宋体" w:cs="Times New Roman"/>
          <w:color w:val="000000"/>
          <w:sz w:val="24"/>
          <w:szCs w:val="28"/>
          <w:lang w:eastAsia="zh-CN"/>
        </w:rPr>
      </w:pPr>
      <w:r>
        <w:rPr>
          <w:rFonts w:hint="eastAsia" w:ascii="Times New Roman" w:hAnsi="Times New Roman" w:eastAsia="宋体" w:cs="Times New Roman"/>
          <w:sz w:val="24"/>
          <w:szCs w:val="24"/>
          <w:lang w:eastAsia="zh-CN"/>
        </w:rPr>
        <w:t>山东瑞盟生物科技有限公司</w:t>
      </w:r>
      <w:r>
        <w:rPr>
          <w:rFonts w:hint="eastAsia" w:ascii="Times New Roman" w:hAnsi="Times New Roman" w:eastAsia="宋体" w:cs="Times New Roman"/>
          <w:sz w:val="24"/>
          <w:szCs w:val="24"/>
          <w:lang w:val="en-US" w:eastAsia="zh-CN"/>
        </w:rPr>
        <w:t>年产2000吨食品添加剂</w:t>
      </w:r>
      <w:r>
        <w:rPr>
          <w:rFonts w:hint="eastAsia" w:ascii="Times New Roman" w:hAnsi="Times New Roman" w:eastAsia="宋体" w:cs="Times New Roman"/>
          <w:sz w:val="24"/>
          <w:szCs w:val="24"/>
          <w:lang w:eastAsia="zh-CN"/>
        </w:rPr>
        <w:t>项目（</w:t>
      </w:r>
      <w:r>
        <w:rPr>
          <w:rFonts w:hint="eastAsia" w:ascii="Times New Roman" w:hAnsi="Times New Roman" w:eastAsia="宋体" w:cs="Times New Roman"/>
          <w:sz w:val="24"/>
          <w:szCs w:val="24"/>
          <w:lang w:val="en-US" w:eastAsia="zh-CN"/>
        </w:rPr>
        <w:t>一期</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8"/>
        </w:rPr>
        <w:t>，按照《建设项目环境风险评价技术导则》（HJ/T169-2004）和《关于进一步加强环境影响评价管理防范环境风险的通知》（环发[2012]77号）的规定，对本项目的环境风险源进行了识别，</w:t>
      </w:r>
      <w:r>
        <w:rPr>
          <w:rFonts w:hint="default" w:ascii="Times New Roman" w:hAnsi="Times New Roman" w:eastAsia="宋体" w:cs="Times New Roman"/>
          <w:color w:val="000000"/>
          <w:sz w:val="24"/>
          <w:szCs w:val="28"/>
          <w:lang w:eastAsia="zh-CN"/>
        </w:rPr>
        <w:t>项目可能发生的主要风险是电器设备及线路老化等引起的火灾及爆炸事故。</w:t>
      </w:r>
    </w:p>
    <w:p w14:paraId="3FB7FA86">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措施：</w:t>
      </w:r>
    </w:p>
    <w:p w14:paraId="01467D7D">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①生产车间内在明显处放置消火栓、沙箱及相应灭火器。车间设施、材料堆放、加工过程的设计、加工和维护上能防止火灾或爆燃蔓延到邻近区域，并能防止人员受伤。</w:t>
      </w:r>
    </w:p>
    <w:p w14:paraId="1455C298">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②从业人员均接受安全培训，熟悉有关安全生产规章制度和安全操作流程，具备必要的安全生产知识，掌握本岗位的安全操作技能，增强预防事故、控制职业危害和应急处理的能力。</w:t>
      </w:r>
    </w:p>
    <w:p w14:paraId="6E7D2629">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③机械设备运行过程中防护装置不健全或有缺陷，不按操作规程操作，不按规定正确穿戴劳动防护用品等产生的机械伤害。电气设备因维护不当，安全管理不严格；非电工人员安装或维修电气设备和电路，违反操作规程等，易发生触电事故。</w:t>
      </w:r>
    </w:p>
    <w:p w14:paraId="24568F63">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④长时间位于噪声设备较大区域工作的人员佩戴耳朵防护罩等隔声措施。</w:t>
      </w:r>
    </w:p>
    <w:p w14:paraId="7DC2111B">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针对以上环境风险因素采取相应的环境风险防范措施后，本项目运营期产生的环境风险完全可以控制在可接受的范围内。</w:t>
      </w:r>
    </w:p>
    <w:p w14:paraId="6E8EDC14">
      <w:pPr>
        <w:spacing w:line="360" w:lineRule="auto"/>
        <w:jc w:val="left"/>
        <w:outlineLvl w:val="1"/>
        <w:rPr>
          <w:rFonts w:hint="default" w:ascii="Times New Roman" w:hAnsi="Times New Roman" w:eastAsia="宋体" w:cs="Times New Roman"/>
          <w:b/>
          <w:color w:val="000000"/>
          <w:sz w:val="28"/>
          <w:szCs w:val="28"/>
          <w:lang w:val="en-US" w:eastAsia="zh-CN"/>
        </w:rPr>
      </w:pPr>
      <w:bookmarkStart w:id="85" w:name="_Toc17628"/>
      <w:bookmarkStart w:id="86" w:name="_Toc11534"/>
      <w:r>
        <w:rPr>
          <w:rFonts w:hint="default" w:ascii="Times New Roman" w:hAnsi="Times New Roman" w:eastAsia="宋体" w:cs="Times New Roman"/>
          <w:b/>
          <w:color w:val="000000"/>
          <w:sz w:val="28"/>
          <w:szCs w:val="28"/>
        </w:rPr>
        <w:t>2.2</w:t>
      </w:r>
      <w:bookmarkEnd w:id="85"/>
      <w:r>
        <w:rPr>
          <w:rFonts w:hint="default" w:ascii="Times New Roman" w:hAnsi="Times New Roman" w:eastAsia="宋体" w:cs="Times New Roman"/>
          <w:b/>
          <w:color w:val="000000"/>
          <w:sz w:val="28"/>
          <w:szCs w:val="28"/>
          <w:lang w:val="en-US" w:eastAsia="zh-CN"/>
        </w:rPr>
        <w:t>居民搬迁情况</w:t>
      </w:r>
      <w:bookmarkEnd w:id="86"/>
    </w:p>
    <w:p w14:paraId="546720FA">
      <w:pPr>
        <w:spacing w:line="360" w:lineRule="auto"/>
        <w:ind w:firstLine="480" w:firstLineChars="200"/>
        <w:rPr>
          <w:rFonts w:hint="default" w:ascii="Times New Roman" w:hAnsi="Times New Roman" w:eastAsia="宋体" w:cs="Times New Roman"/>
          <w:sz w:val="28"/>
          <w:szCs w:val="28"/>
        </w:rPr>
      </w:pPr>
      <w:r>
        <w:rPr>
          <w:rFonts w:hint="default" w:ascii="Times New Roman" w:hAnsi="Times New Roman" w:eastAsia="宋体" w:cs="Times New Roman"/>
          <w:color w:val="000000"/>
          <w:sz w:val="24"/>
          <w:szCs w:val="28"/>
        </w:rPr>
        <w:t>本项目不涉及居民搬迁。</w:t>
      </w:r>
    </w:p>
    <w:p w14:paraId="4AE30138">
      <w:pPr>
        <w:spacing w:line="360" w:lineRule="auto"/>
        <w:jc w:val="left"/>
        <w:outlineLvl w:val="1"/>
        <w:rPr>
          <w:rFonts w:hint="default" w:ascii="Times New Roman" w:hAnsi="Times New Roman" w:eastAsia="宋体" w:cs="Times New Roman"/>
          <w:b/>
          <w:color w:val="000000"/>
          <w:sz w:val="28"/>
          <w:szCs w:val="28"/>
        </w:rPr>
      </w:pPr>
      <w:bookmarkStart w:id="87" w:name="_Toc28356"/>
      <w:bookmarkStart w:id="88" w:name="_Toc30601"/>
      <w:r>
        <w:rPr>
          <w:rFonts w:hint="default" w:ascii="Times New Roman" w:hAnsi="Times New Roman" w:eastAsia="宋体" w:cs="Times New Roman"/>
          <w:b/>
          <w:color w:val="000000"/>
          <w:sz w:val="28"/>
          <w:szCs w:val="28"/>
        </w:rPr>
        <w:t>2.3其他措施落实情况</w:t>
      </w:r>
      <w:bookmarkEnd w:id="87"/>
      <w:bookmarkEnd w:id="88"/>
    </w:p>
    <w:p w14:paraId="012B3C73">
      <w:pPr>
        <w:spacing w:line="360" w:lineRule="auto"/>
        <w:ind w:firstLine="480" w:firstLineChars="200"/>
        <w:rPr>
          <w:rFonts w:hint="default" w:ascii="Times New Roman" w:hAnsi="Times New Roman" w:eastAsia="宋体" w:cs="Times New Roman"/>
          <w:color w:val="000000"/>
          <w:sz w:val="24"/>
          <w:szCs w:val="28"/>
        </w:rPr>
      </w:pPr>
      <w:bookmarkStart w:id="89" w:name="_Toc10570"/>
      <w:r>
        <w:rPr>
          <w:rFonts w:hint="eastAsia" w:ascii="Times New Roman" w:hAnsi="Times New Roman" w:eastAsia="宋体" w:cs="Times New Roman"/>
          <w:sz w:val="24"/>
          <w:szCs w:val="24"/>
          <w:lang w:eastAsia="zh-CN"/>
        </w:rPr>
        <w:t>山东瑞盟生物科技有限公司年产</w:t>
      </w:r>
      <w:r>
        <w:rPr>
          <w:rFonts w:hint="eastAsia" w:ascii="Times New Roman" w:hAnsi="Times New Roman" w:eastAsia="宋体" w:cs="Times New Roman"/>
          <w:sz w:val="24"/>
          <w:szCs w:val="24"/>
          <w:lang w:val="en-US" w:eastAsia="zh-CN"/>
        </w:rPr>
        <w:t>20000吨食品添加剂</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color w:val="000000"/>
          <w:sz w:val="24"/>
          <w:szCs w:val="28"/>
          <w:lang w:val="en-US" w:eastAsia="zh-CN"/>
        </w:rPr>
        <w:t>符合</w:t>
      </w:r>
      <w:r>
        <w:rPr>
          <w:rFonts w:hint="default" w:ascii="Times New Roman" w:hAnsi="Times New Roman" w:eastAsia="宋体" w:cs="Times New Roman"/>
          <w:color w:val="000000"/>
          <w:sz w:val="24"/>
          <w:szCs w:val="28"/>
        </w:rPr>
        <w:t>城市发展总体规划，项目的建设符合了土地利用规划的有关要求。项目周边1km范围内没有历史文物古迹、风景名胜区及重要生态功能区；</w:t>
      </w:r>
      <w:r>
        <w:rPr>
          <w:rFonts w:hint="default" w:ascii="Times New Roman" w:hAnsi="Times New Roman" w:eastAsia="宋体" w:cs="Times New Roman"/>
          <w:color w:val="000000"/>
          <w:sz w:val="24"/>
          <w:szCs w:val="28"/>
          <w:lang w:val="en-US" w:eastAsia="zh-CN"/>
        </w:rPr>
        <w:t>各项环保措施运行设置齐全，设备运行状态良好。</w:t>
      </w:r>
      <w:r>
        <w:rPr>
          <w:rFonts w:hint="default" w:ascii="Times New Roman" w:hAnsi="Times New Roman" w:eastAsia="宋体" w:cs="Times New Roman"/>
          <w:color w:val="000000"/>
          <w:sz w:val="24"/>
          <w:szCs w:val="28"/>
        </w:rPr>
        <w:t>生产过程中产生的污染负荷较轻，对周围环境影响较小；具有水、电及交通便利等有利条件。</w:t>
      </w:r>
      <w:bookmarkEnd w:id="89"/>
    </w:p>
    <w:p w14:paraId="3551F8AA">
      <w:pPr>
        <w:pStyle w:val="2"/>
        <w:ind w:left="0" w:leftChars="0" w:firstLine="0" w:firstLineChars="0"/>
        <w:rPr>
          <w:rFonts w:hint="default" w:ascii="Times New Roman" w:hAnsi="Times New Roman" w:eastAsia="宋体" w:cs="Times New Roman"/>
          <w:lang w:eastAsia="zh-CN"/>
        </w:rPr>
      </w:pPr>
    </w:p>
    <w:p w14:paraId="24D20D7A">
      <w:pPr>
        <w:pStyle w:val="4"/>
        <w:rPr>
          <w:rFonts w:hint="default" w:ascii="Times New Roman" w:hAnsi="Times New Roman" w:eastAsia="宋体" w:cs="Times New Roman"/>
          <w:color w:val="000000"/>
          <w:sz w:val="24"/>
          <w:szCs w:val="28"/>
        </w:rPr>
        <w:sectPr>
          <w:footerReference r:id="rId14"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2669F00D">
      <w:pPr>
        <w:pStyle w:val="50"/>
        <w:adjustRightInd w:val="0"/>
        <w:snapToGrid w:val="0"/>
        <w:ind w:left="-210" w:leftChars="-100" w:firstLine="0" w:firstLineChars="0"/>
        <w:jc w:val="center"/>
        <w:outlineLvl w:val="0"/>
        <w:rPr>
          <w:rFonts w:hint="default" w:ascii="Times New Roman" w:hAnsi="Times New Roman" w:eastAsia="宋体" w:cs="Times New Roman"/>
          <w:b/>
          <w:sz w:val="32"/>
          <w:szCs w:val="32"/>
        </w:rPr>
      </w:pPr>
      <w:bookmarkStart w:id="90" w:name="_Toc523388556"/>
      <w:bookmarkStart w:id="91" w:name="_Toc522270330"/>
      <w:bookmarkStart w:id="92" w:name="_Toc523409008"/>
      <w:bookmarkStart w:id="93" w:name="_Toc17758"/>
      <w:r>
        <w:rPr>
          <w:rFonts w:hint="default" w:ascii="Times New Roman" w:hAnsi="Times New Roman" w:eastAsia="宋体" w:cs="Times New Roman"/>
          <w:b/>
          <w:sz w:val="32"/>
          <w:szCs w:val="32"/>
        </w:rPr>
        <w:t>1</w:t>
      </w:r>
      <w:r>
        <w:rPr>
          <w:rFonts w:hint="eastAsia" w:ascii="Times New Roman" w:hAnsi="Times New Roman" w:eastAsia="宋体" w:cs="Times New Roman"/>
          <w:b/>
          <w:sz w:val="32"/>
          <w:szCs w:val="32"/>
          <w:lang w:val="en-US" w:eastAsia="zh-CN"/>
        </w:rPr>
        <w:t>2</w:t>
      </w:r>
      <w:r>
        <w:rPr>
          <w:rFonts w:hint="default" w:ascii="Times New Roman" w:hAnsi="Times New Roman" w:eastAsia="宋体" w:cs="Times New Roman"/>
          <w:b/>
          <w:sz w:val="32"/>
          <w:szCs w:val="32"/>
        </w:rPr>
        <w:t>、</w:t>
      </w:r>
      <w:bookmarkEnd w:id="90"/>
      <w:bookmarkEnd w:id="91"/>
      <w:bookmarkEnd w:id="92"/>
      <w:r>
        <w:rPr>
          <w:rFonts w:hint="default" w:ascii="Times New Roman" w:hAnsi="Times New Roman" w:eastAsia="宋体" w:cs="Times New Roman"/>
          <w:b/>
          <w:sz w:val="32"/>
          <w:szCs w:val="32"/>
        </w:rPr>
        <w:t xml:space="preserve">建设项目竣工环境保护 </w:t>
      </w:r>
      <w:r>
        <w:rPr>
          <w:rFonts w:hint="eastAsia" w:ascii="Times New Roman" w:hAnsi="Times New Roman" w:eastAsia="宋体" w:cs="Times New Roman"/>
          <w:b/>
          <w:sz w:val="32"/>
          <w:szCs w:val="32"/>
          <w:lang w:eastAsia="zh-CN"/>
        </w:rPr>
        <w:t>“</w:t>
      </w:r>
      <w:r>
        <w:rPr>
          <w:rFonts w:hint="default" w:ascii="Times New Roman" w:hAnsi="Times New Roman" w:eastAsia="宋体" w:cs="Times New Roman"/>
          <w:b/>
          <w:sz w:val="32"/>
          <w:szCs w:val="32"/>
        </w:rPr>
        <w:t xml:space="preserve"> 三同时 </w:t>
      </w:r>
      <w:r>
        <w:rPr>
          <w:rFonts w:hint="eastAsia" w:ascii="Times New Roman" w:hAnsi="Times New Roman" w:eastAsia="宋体" w:cs="Times New Roman"/>
          <w:b/>
          <w:sz w:val="32"/>
          <w:szCs w:val="32"/>
          <w:lang w:eastAsia="zh-CN"/>
        </w:rPr>
        <w:t>”</w:t>
      </w:r>
      <w:r>
        <w:rPr>
          <w:rFonts w:hint="default" w:ascii="Times New Roman" w:hAnsi="Times New Roman" w:eastAsia="宋体" w:cs="Times New Roman"/>
          <w:b/>
          <w:sz w:val="32"/>
          <w:szCs w:val="32"/>
        </w:rPr>
        <w:t>验收登记表</w:t>
      </w:r>
      <w:bookmarkEnd w:id="93"/>
    </w:p>
    <w:tbl>
      <w:tblPr>
        <w:tblStyle w:val="33"/>
        <w:tblW w:w="16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34"/>
        <w:gridCol w:w="141"/>
        <w:gridCol w:w="2100"/>
        <w:gridCol w:w="605"/>
        <w:gridCol w:w="1134"/>
        <w:gridCol w:w="142"/>
        <w:gridCol w:w="955"/>
        <w:gridCol w:w="888"/>
        <w:gridCol w:w="283"/>
        <w:gridCol w:w="567"/>
        <w:gridCol w:w="1134"/>
        <w:gridCol w:w="851"/>
        <w:gridCol w:w="2382"/>
        <w:gridCol w:w="1303"/>
        <w:gridCol w:w="472"/>
        <w:gridCol w:w="521"/>
        <w:gridCol w:w="425"/>
        <w:gridCol w:w="465"/>
        <w:gridCol w:w="669"/>
        <w:gridCol w:w="610"/>
      </w:tblGrid>
      <w:tr w14:paraId="4E78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81" w:type="dxa"/>
            <w:gridSpan w:val="20"/>
            <w:tcBorders>
              <w:top w:val="nil"/>
              <w:left w:val="nil"/>
              <w:bottom w:val="single" w:color="auto" w:sz="4" w:space="0"/>
              <w:right w:val="nil"/>
            </w:tcBorders>
            <w:shd w:val="clear" w:color="auto" w:fill="auto"/>
            <w:vAlign w:val="center"/>
          </w:tcPr>
          <w:p w14:paraId="1A88302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                                             填表人(签字)：                                         项目经办人(签字)：</w:t>
            </w:r>
          </w:p>
        </w:tc>
      </w:tr>
      <w:tr w14:paraId="6304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restart"/>
            <w:tcBorders>
              <w:top w:val="single" w:color="auto" w:sz="4" w:space="0"/>
            </w:tcBorders>
            <w:shd w:val="clear" w:color="auto" w:fill="auto"/>
            <w:vAlign w:val="center"/>
          </w:tcPr>
          <w:p w14:paraId="4253E9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w:t>
            </w:r>
          </w:p>
        </w:tc>
        <w:tc>
          <w:tcPr>
            <w:tcW w:w="2241" w:type="dxa"/>
            <w:gridSpan w:val="2"/>
            <w:tcBorders>
              <w:top w:val="single" w:color="auto" w:sz="4" w:space="0"/>
            </w:tcBorders>
            <w:shd w:val="clear" w:color="auto" w:fill="auto"/>
            <w:vAlign w:val="center"/>
          </w:tcPr>
          <w:p w14:paraId="73EB2B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4574" w:type="dxa"/>
            <w:gridSpan w:val="7"/>
            <w:tcBorders>
              <w:top w:val="single" w:color="auto" w:sz="4" w:space="0"/>
            </w:tcBorders>
            <w:shd w:val="clear" w:color="auto" w:fill="auto"/>
            <w:vAlign w:val="center"/>
          </w:tcPr>
          <w:p w14:paraId="0E375D4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年产20000吨食品添加剂项目（一期）</w:t>
            </w:r>
          </w:p>
        </w:tc>
        <w:tc>
          <w:tcPr>
            <w:tcW w:w="1985" w:type="dxa"/>
            <w:gridSpan w:val="2"/>
            <w:tcBorders>
              <w:top w:val="single" w:color="auto" w:sz="4" w:space="0"/>
            </w:tcBorders>
            <w:shd w:val="clear" w:color="auto" w:fill="auto"/>
            <w:vAlign w:val="center"/>
          </w:tcPr>
          <w:p w14:paraId="6D598B9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项目代码</w:t>
            </w:r>
          </w:p>
        </w:tc>
        <w:tc>
          <w:tcPr>
            <w:tcW w:w="2382" w:type="dxa"/>
            <w:tcBorders>
              <w:top w:val="single" w:color="auto" w:sz="4" w:space="0"/>
            </w:tcBorders>
            <w:shd w:val="clear" w:color="auto" w:fill="auto"/>
            <w:vAlign w:val="center"/>
          </w:tcPr>
          <w:p w14:paraId="54D05C38">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2209-371723-89-01-381224</w:t>
            </w:r>
          </w:p>
        </w:tc>
        <w:tc>
          <w:tcPr>
            <w:tcW w:w="1775" w:type="dxa"/>
            <w:gridSpan w:val="2"/>
            <w:tcBorders>
              <w:top w:val="single" w:color="auto" w:sz="4" w:space="0"/>
            </w:tcBorders>
            <w:shd w:val="clear" w:color="auto" w:fill="auto"/>
            <w:vAlign w:val="center"/>
          </w:tcPr>
          <w:p w14:paraId="3811DA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建设地点</w:t>
            </w:r>
          </w:p>
        </w:tc>
        <w:tc>
          <w:tcPr>
            <w:tcW w:w="2690" w:type="dxa"/>
            <w:gridSpan w:val="5"/>
            <w:tcBorders>
              <w:top w:val="single" w:color="auto" w:sz="4" w:space="0"/>
            </w:tcBorders>
            <w:shd w:val="clear" w:color="auto" w:fill="auto"/>
            <w:vAlign w:val="center"/>
          </w:tcPr>
          <w:p w14:paraId="39B86D63">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山东省菏泽市成武县大田集镇港航产业园内</w:t>
            </w:r>
          </w:p>
        </w:tc>
      </w:tr>
      <w:tr w14:paraId="21A5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0CDBE240">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1FEBDA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行业类别(分类管理名录)</w:t>
            </w:r>
          </w:p>
        </w:tc>
        <w:tc>
          <w:tcPr>
            <w:tcW w:w="4574" w:type="dxa"/>
            <w:gridSpan w:val="7"/>
            <w:shd w:val="clear" w:color="auto" w:fill="auto"/>
            <w:vAlign w:val="center"/>
          </w:tcPr>
          <w:p w14:paraId="0B2AAAA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C</w:t>
            </w:r>
            <w:r>
              <w:rPr>
                <w:rFonts w:hint="eastAsia" w:ascii="Times New Roman" w:hAnsi="Times New Roman" w:eastAsia="宋体" w:cs="Times New Roman"/>
                <w:sz w:val="18"/>
                <w:szCs w:val="18"/>
                <w:lang w:val="en-US" w:eastAsia="zh-CN"/>
              </w:rPr>
              <w:t>1495食品及饲料添加制造、C2926塑料包装箱及容器箱制造</w:t>
            </w:r>
          </w:p>
        </w:tc>
        <w:tc>
          <w:tcPr>
            <w:tcW w:w="1985" w:type="dxa"/>
            <w:gridSpan w:val="2"/>
            <w:shd w:val="clear" w:color="auto" w:fill="auto"/>
            <w:vAlign w:val="center"/>
          </w:tcPr>
          <w:p w14:paraId="6FEC7E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建设性质</w:t>
            </w:r>
          </w:p>
        </w:tc>
        <w:tc>
          <w:tcPr>
            <w:tcW w:w="4157" w:type="dxa"/>
            <w:gridSpan w:val="3"/>
            <w:shd w:val="clear" w:color="auto" w:fill="auto"/>
            <w:vAlign w:val="center"/>
          </w:tcPr>
          <w:p w14:paraId="539563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新建</w:t>
            </w:r>
            <w:r>
              <w:rPr>
                <w:rFonts w:hint="default" w:ascii="Times New Roman" w:hAnsi="Times New Roman" w:eastAsia="宋体" w:cs="Times New Roman"/>
                <w:sz w:val="18"/>
                <w:szCs w:val="18"/>
              </w:rPr>
              <w:sym w:font="Wingdings 2" w:char="00A3"/>
            </w:r>
            <w:r>
              <w:rPr>
                <w:rFonts w:hint="default" w:ascii="Times New Roman" w:hAnsi="Times New Roman" w:eastAsia="宋体" w:cs="Times New Roman"/>
                <w:sz w:val="18"/>
                <w:szCs w:val="18"/>
              </w:rPr>
              <w:t>改扩建□技术改造</w:t>
            </w:r>
          </w:p>
        </w:tc>
        <w:tc>
          <w:tcPr>
            <w:tcW w:w="1411" w:type="dxa"/>
            <w:gridSpan w:val="3"/>
            <w:shd w:val="clear" w:color="auto" w:fill="auto"/>
            <w:vAlign w:val="center"/>
          </w:tcPr>
          <w:p w14:paraId="22A18C38">
            <w:pPr>
              <w:jc w:val="left"/>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项目厂区中心经度/纬度</w:t>
            </w:r>
          </w:p>
        </w:tc>
        <w:tc>
          <w:tcPr>
            <w:tcW w:w="1279" w:type="dxa"/>
            <w:gridSpan w:val="2"/>
            <w:shd w:val="clear" w:color="auto" w:fill="auto"/>
            <w:vAlign w:val="center"/>
          </w:tcPr>
          <w:p w14:paraId="30E617CF">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pacing w:val="-20"/>
                <w:sz w:val="18"/>
                <w:szCs w:val="18"/>
              </w:rPr>
              <w:t>东经</w:t>
            </w:r>
            <w:r>
              <w:rPr>
                <w:rFonts w:hint="eastAsia" w:ascii="Times New Roman" w:hAnsi="Times New Roman" w:eastAsia="宋体" w:cs="Times New Roman"/>
                <w:spacing w:val="-20"/>
                <w:sz w:val="18"/>
                <w:szCs w:val="18"/>
                <w:lang w:val="en-US" w:eastAsia="zh-CN"/>
              </w:rPr>
              <w:t>116°02′52.14″</w:t>
            </w:r>
            <w:r>
              <w:rPr>
                <w:rFonts w:hint="default" w:ascii="Times New Roman" w:hAnsi="Times New Roman" w:eastAsia="宋体" w:cs="Times New Roman"/>
                <w:spacing w:val="-20"/>
                <w:sz w:val="18"/>
                <w:szCs w:val="18"/>
              </w:rPr>
              <w:t>北纬</w:t>
            </w:r>
            <w:r>
              <w:rPr>
                <w:rFonts w:hint="eastAsia" w:ascii="Times New Roman" w:hAnsi="Times New Roman" w:eastAsia="宋体" w:cs="Times New Roman"/>
                <w:spacing w:val="-20"/>
                <w:sz w:val="18"/>
                <w:szCs w:val="18"/>
                <w:lang w:val="en-US" w:eastAsia="zh-CN"/>
              </w:rPr>
              <w:t>35°08′46.03″</w:t>
            </w:r>
          </w:p>
        </w:tc>
      </w:tr>
      <w:tr w14:paraId="1E61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56BDA806">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46156F7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4574" w:type="dxa"/>
            <w:gridSpan w:val="7"/>
            <w:shd w:val="clear" w:color="auto" w:fill="auto"/>
            <w:vAlign w:val="center"/>
          </w:tcPr>
          <w:p w14:paraId="712DF117">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年产10000吨食品添加剂和年产60吨塑料包装桶</w:t>
            </w:r>
          </w:p>
        </w:tc>
        <w:tc>
          <w:tcPr>
            <w:tcW w:w="1985" w:type="dxa"/>
            <w:gridSpan w:val="2"/>
            <w:shd w:val="clear" w:color="auto" w:fill="auto"/>
            <w:vAlign w:val="center"/>
          </w:tcPr>
          <w:p w14:paraId="733848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实际生产能力</w:t>
            </w:r>
          </w:p>
        </w:tc>
        <w:tc>
          <w:tcPr>
            <w:tcW w:w="2382" w:type="dxa"/>
            <w:shd w:val="clear" w:color="auto" w:fill="auto"/>
            <w:vAlign w:val="center"/>
          </w:tcPr>
          <w:p w14:paraId="7A3B95AB">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C</w:t>
            </w:r>
            <w:r>
              <w:rPr>
                <w:rFonts w:hint="eastAsia" w:ascii="Times New Roman" w:hAnsi="Times New Roman" w:eastAsia="宋体" w:cs="Times New Roman"/>
                <w:sz w:val="18"/>
                <w:szCs w:val="18"/>
                <w:lang w:val="en-US" w:eastAsia="zh-CN"/>
              </w:rPr>
              <w:t>1495食品及饲料添加制造、C2926塑料包装箱及容器箱制造</w:t>
            </w:r>
          </w:p>
        </w:tc>
        <w:tc>
          <w:tcPr>
            <w:tcW w:w="1775" w:type="dxa"/>
            <w:gridSpan w:val="2"/>
            <w:shd w:val="clear" w:color="auto" w:fill="auto"/>
            <w:vAlign w:val="center"/>
          </w:tcPr>
          <w:p w14:paraId="31189EE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环评单位</w:t>
            </w:r>
          </w:p>
        </w:tc>
        <w:tc>
          <w:tcPr>
            <w:tcW w:w="2690" w:type="dxa"/>
            <w:gridSpan w:val="5"/>
            <w:shd w:val="clear" w:color="auto" w:fill="auto"/>
            <w:vAlign w:val="center"/>
          </w:tcPr>
          <w:p w14:paraId="12CE815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山东国润环境科技有限公司</w:t>
            </w:r>
          </w:p>
        </w:tc>
      </w:tr>
      <w:tr w14:paraId="0CCE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67D27EE6">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1A111F4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4574" w:type="dxa"/>
            <w:gridSpan w:val="7"/>
            <w:shd w:val="clear" w:color="auto" w:fill="auto"/>
            <w:vAlign w:val="center"/>
          </w:tcPr>
          <w:p w14:paraId="2BB5A3B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菏泽市生态环境局</w:t>
            </w:r>
            <w:r>
              <w:rPr>
                <w:rFonts w:hint="eastAsia" w:ascii="Times New Roman" w:hAnsi="Times New Roman" w:eastAsia="宋体" w:cs="Times New Roman"/>
                <w:sz w:val="18"/>
                <w:szCs w:val="18"/>
                <w:lang w:val="en-US" w:eastAsia="zh-CN"/>
              </w:rPr>
              <w:t>成武</w:t>
            </w:r>
            <w:r>
              <w:rPr>
                <w:rFonts w:hint="default" w:ascii="Times New Roman" w:hAnsi="Times New Roman" w:eastAsia="宋体" w:cs="Times New Roman"/>
                <w:sz w:val="18"/>
                <w:szCs w:val="18"/>
                <w:lang w:val="en-US" w:eastAsia="zh-CN"/>
              </w:rPr>
              <w:t>分局</w:t>
            </w:r>
          </w:p>
        </w:tc>
        <w:tc>
          <w:tcPr>
            <w:tcW w:w="1985" w:type="dxa"/>
            <w:gridSpan w:val="2"/>
            <w:shd w:val="clear" w:color="auto" w:fill="auto"/>
            <w:vAlign w:val="center"/>
          </w:tcPr>
          <w:p w14:paraId="45B07A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审批文号</w:t>
            </w:r>
          </w:p>
        </w:tc>
        <w:tc>
          <w:tcPr>
            <w:tcW w:w="2382" w:type="dxa"/>
            <w:shd w:val="clear" w:color="auto" w:fill="auto"/>
            <w:vAlign w:val="center"/>
          </w:tcPr>
          <w:p w14:paraId="3C3F0C12">
            <w:pPr>
              <w:jc w:val="left"/>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菏成</w:t>
            </w:r>
            <w:r>
              <w:rPr>
                <w:rFonts w:hint="default" w:ascii="Times New Roman" w:hAnsi="Times New Roman" w:eastAsia="宋体" w:cs="Times New Roman"/>
                <w:sz w:val="18"/>
                <w:szCs w:val="18"/>
                <w:lang w:val="en-US" w:eastAsia="zh-CN"/>
              </w:rPr>
              <w:t>环审【202</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lang w:val="en-US" w:eastAsia="zh-CN"/>
              </w:rPr>
              <w:t>57</w:t>
            </w:r>
            <w:r>
              <w:rPr>
                <w:rFonts w:hint="default" w:ascii="Times New Roman" w:hAnsi="Times New Roman" w:eastAsia="宋体" w:cs="Times New Roman"/>
                <w:sz w:val="18"/>
                <w:szCs w:val="18"/>
                <w:lang w:val="en-US" w:eastAsia="zh-CN"/>
              </w:rPr>
              <w:t>号</w:t>
            </w:r>
          </w:p>
        </w:tc>
        <w:tc>
          <w:tcPr>
            <w:tcW w:w="1775" w:type="dxa"/>
            <w:gridSpan w:val="2"/>
            <w:shd w:val="clear" w:color="auto" w:fill="auto"/>
            <w:vAlign w:val="center"/>
          </w:tcPr>
          <w:p w14:paraId="7C79522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环评文件类型</w:t>
            </w:r>
          </w:p>
        </w:tc>
        <w:tc>
          <w:tcPr>
            <w:tcW w:w="2690" w:type="dxa"/>
            <w:gridSpan w:val="5"/>
            <w:shd w:val="clear" w:color="auto" w:fill="auto"/>
            <w:vAlign w:val="center"/>
          </w:tcPr>
          <w:p w14:paraId="513535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环境影响报告表</w:t>
            </w:r>
          </w:p>
        </w:tc>
      </w:tr>
      <w:tr w14:paraId="2D60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3033E802">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63A49D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4574" w:type="dxa"/>
            <w:gridSpan w:val="7"/>
            <w:shd w:val="clear" w:color="auto" w:fill="auto"/>
            <w:vAlign w:val="center"/>
          </w:tcPr>
          <w:p w14:paraId="2CCA849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r>
              <w:rPr>
                <w:rFonts w:hint="default" w:ascii="Times New Roman" w:hAnsi="Times New Roman" w:eastAsia="宋体"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年</w:t>
            </w:r>
            <w:r>
              <w:rPr>
                <w:rFonts w:hint="default" w:ascii="Times New Roman" w:hAnsi="Times New Roman" w:eastAsia="宋体" w:cs="Times New Roman"/>
                <w:color w:val="auto"/>
                <w:sz w:val="18"/>
                <w:szCs w:val="18"/>
                <w:lang w:val="en-US" w:eastAsia="zh-CN"/>
              </w:rPr>
              <w:t>0</w:t>
            </w:r>
            <w:r>
              <w:rPr>
                <w:rFonts w:hint="eastAsia"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月</w:t>
            </w:r>
          </w:p>
        </w:tc>
        <w:tc>
          <w:tcPr>
            <w:tcW w:w="1985" w:type="dxa"/>
            <w:gridSpan w:val="2"/>
            <w:shd w:val="clear" w:color="auto" w:fill="auto"/>
            <w:vAlign w:val="center"/>
          </w:tcPr>
          <w:p w14:paraId="51D0FD9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竣工日期</w:t>
            </w:r>
          </w:p>
        </w:tc>
        <w:tc>
          <w:tcPr>
            <w:tcW w:w="2382" w:type="dxa"/>
            <w:shd w:val="clear" w:color="auto" w:fill="auto"/>
            <w:vAlign w:val="center"/>
          </w:tcPr>
          <w:p w14:paraId="5D38B61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w:t>
            </w:r>
            <w:r>
              <w:rPr>
                <w:rFonts w:hint="eastAsia"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年</w:t>
            </w: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月</w:t>
            </w:r>
          </w:p>
        </w:tc>
        <w:tc>
          <w:tcPr>
            <w:tcW w:w="1775" w:type="dxa"/>
            <w:gridSpan w:val="2"/>
            <w:shd w:val="clear" w:color="auto" w:fill="auto"/>
            <w:vAlign w:val="center"/>
          </w:tcPr>
          <w:p w14:paraId="750D335E">
            <w:pPr>
              <w:jc w:val="center"/>
              <w:rPr>
                <w:rFonts w:hint="default" w:ascii="Times New Roman" w:hAnsi="Times New Roman" w:eastAsia="宋体" w:cs="Times New Roman"/>
                <w:color w:val="auto"/>
                <w:spacing w:val="-20"/>
                <w:sz w:val="18"/>
                <w:szCs w:val="18"/>
              </w:rPr>
            </w:pPr>
            <w:r>
              <w:rPr>
                <w:rFonts w:hint="default" w:ascii="Times New Roman" w:hAnsi="Times New Roman" w:eastAsia="宋体" w:cs="Times New Roman"/>
                <w:color w:val="auto"/>
                <w:spacing w:val="-20"/>
                <w:sz w:val="18"/>
                <w:szCs w:val="18"/>
              </w:rPr>
              <w:t>排污许可证申领时间</w:t>
            </w:r>
          </w:p>
        </w:tc>
        <w:tc>
          <w:tcPr>
            <w:tcW w:w="2690" w:type="dxa"/>
            <w:gridSpan w:val="5"/>
            <w:shd w:val="clear" w:color="auto" w:fill="auto"/>
            <w:vAlign w:val="center"/>
          </w:tcPr>
          <w:p w14:paraId="5E5A6A3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w:t>
            </w:r>
            <w:r>
              <w:rPr>
                <w:rFonts w:hint="eastAsia" w:ascii="Times New Roman" w:hAnsi="Times New Roman" w:eastAsia="宋体" w:cs="Times New Roman"/>
                <w:color w:val="auto"/>
                <w:sz w:val="18"/>
                <w:szCs w:val="18"/>
                <w:lang w:val="en-US" w:eastAsia="zh-CN"/>
              </w:rPr>
              <w:t>5.2.11</w:t>
            </w:r>
          </w:p>
        </w:tc>
      </w:tr>
      <w:tr w14:paraId="160B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1A7E0325">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472392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4574" w:type="dxa"/>
            <w:gridSpan w:val="7"/>
            <w:shd w:val="clear" w:color="auto" w:fill="auto"/>
            <w:vAlign w:val="center"/>
          </w:tcPr>
          <w:p w14:paraId="298D4049">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85" w:type="dxa"/>
            <w:gridSpan w:val="2"/>
            <w:shd w:val="clear" w:color="auto" w:fill="auto"/>
            <w:vAlign w:val="center"/>
          </w:tcPr>
          <w:p w14:paraId="35A2807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环保设施施工单位</w:t>
            </w:r>
          </w:p>
        </w:tc>
        <w:tc>
          <w:tcPr>
            <w:tcW w:w="2382" w:type="dxa"/>
            <w:shd w:val="clear" w:color="auto" w:fill="auto"/>
            <w:vAlign w:val="center"/>
          </w:tcPr>
          <w:p w14:paraId="073B41B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775" w:type="dxa"/>
            <w:gridSpan w:val="2"/>
            <w:shd w:val="clear" w:color="auto" w:fill="auto"/>
            <w:vAlign w:val="center"/>
          </w:tcPr>
          <w:p w14:paraId="0CC51D1F">
            <w:pPr>
              <w:jc w:val="center"/>
              <w:rPr>
                <w:rFonts w:hint="default" w:ascii="Times New Roman" w:hAnsi="Times New Roman" w:eastAsia="宋体" w:cs="Times New Roman"/>
                <w:color w:val="auto"/>
                <w:spacing w:val="-20"/>
                <w:sz w:val="18"/>
                <w:szCs w:val="18"/>
              </w:rPr>
            </w:pPr>
            <w:r>
              <w:rPr>
                <w:rFonts w:hint="default" w:ascii="Times New Roman" w:hAnsi="Times New Roman" w:eastAsia="宋体" w:cs="Times New Roman"/>
                <w:color w:val="auto"/>
                <w:spacing w:val="-20"/>
                <w:sz w:val="18"/>
                <w:szCs w:val="18"/>
              </w:rPr>
              <w:t>本工程排污许可证编号</w:t>
            </w:r>
          </w:p>
        </w:tc>
        <w:tc>
          <w:tcPr>
            <w:tcW w:w="2690" w:type="dxa"/>
            <w:gridSpan w:val="5"/>
            <w:shd w:val="clear" w:color="auto" w:fill="auto"/>
            <w:vAlign w:val="center"/>
          </w:tcPr>
          <w:p w14:paraId="6F79921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91371722</w:t>
            </w:r>
            <w:r>
              <w:rPr>
                <w:rFonts w:hint="eastAsia" w:ascii="Times New Roman" w:hAnsi="Times New Roman" w:eastAsia="宋体" w:cs="Times New Roman"/>
                <w:color w:val="auto"/>
                <w:sz w:val="18"/>
                <w:szCs w:val="18"/>
                <w:lang w:val="en-US" w:eastAsia="zh-CN"/>
              </w:rPr>
              <w:t>3MABXLCBD0Y001U</w:t>
            </w:r>
          </w:p>
        </w:tc>
      </w:tr>
      <w:tr w14:paraId="3C17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7C08C239">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046E24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4574" w:type="dxa"/>
            <w:gridSpan w:val="7"/>
            <w:shd w:val="clear" w:color="auto" w:fill="auto"/>
            <w:vAlign w:val="center"/>
          </w:tcPr>
          <w:p w14:paraId="20DF15A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u w:val="none"/>
                <w:lang w:eastAsia="zh-CN"/>
              </w:rPr>
              <w:t>山东瑞盟生物科技有限公司</w:t>
            </w:r>
            <w:r>
              <w:rPr>
                <w:rFonts w:hint="default" w:ascii="Times New Roman" w:hAnsi="Times New Roman" w:eastAsia="宋体" w:cs="Times New Roman"/>
                <w:sz w:val="18"/>
                <w:szCs w:val="18"/>
                <w:u w:val="none"/>
                <w:lang w:val="en-US" w:eastAsia="zh-CN"/>
              </w:rPr>
              <w:t xml:space="preserve">  </w:t>
            </w:r>
          </w:p>
        </w:tc>
        <w:tc>
          <w:tcPr>
            <w:tcW w:w="1985" w:type="dxa"/>
            <w:gridSpan w:val="2"/>
            <w:shd w:val="clear" w:color="auto" w:fill="auto"/>
            <w:vAlign w:val="center"/>
          </w:tcPr>
          <w:p w14:paraId="4D97FC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环保设施监测单位</w:t>
            </w:r>
          </w:p>
        </w:tc>
        <w:tc>
          <w:tcPr>
            <w:tcW w:w="2382" w:type="dxa"/>
            <w:shd w:val="clear" w:color="auto" w:fill="auto"/>
            <w:vAlign w:val="center"/>
          </w:tcPr>
          <w:p w14:paraId="3DF9B0B5">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山东天智环境监测有限公司</w:t>
            </w:r>
          </w:p>
        </w:tc>
        <w:tc>
          <w:tcPr>
            <w:tcW w:w="1775" w:type="dxa"/>
            <w:gridSpan w:val="2"/>
            <w:shd w:val="clear" w:color="auto" w:fill="auto"/>
            <w:vAlign w:val="center"/>
          </w:tcPr>
          <w:p w14:paraId="043F02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验收监测时工况</w:t>
            </w:r>
          </w:p>
        </w:tc>
        <w:tc>
          <w:tcPr>
            <w:tcW w:w="2690" w:type="dxa"/>
            <w:gridSpan w:val="5"/>
            <w:shd w:val="clear" w:color="auto" w:fill="auto"/>
            <w:vAlign w:val="center"/>
          </w:tcPr>
          <w:p w14:paraId="6FBF2E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100</w:t>
            </w:r>
            <w:r>
              <w:rPr>
                <w:rFonts w:hint="default" w:ascii="Times New Roman" w:hAnsi="Times New Roman" w:eastAsia="宋体" w:cs="Times New Roman"/>
                <w:sz w:val="18"/>
                <w:szCs w:val="18"/>
              </w:rPr>
              <w:t>%</w:t>
            </w:r>
          </w:p>
        </w:tc>
      </w:tr>
      <w:tr w14:paraId="1627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18D93CCB">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239DCB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4574" w:type="dxa"/>
            <w:gridSpan w:val="7"/>
            <w:shd w:val="clear" w:color="auto" w:fill="auto"/>
            <w:vAlign w:val="center"/>
          </w:tcPr>
          <w:p w14:paraId="317B7B07">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22000</w:t>
            </w:r>
          </w:p>
        </w:tc>
        <w:tc>
          <w:tcPr>
            <w:tcW w:w="1985" w:type="dxa"/>
            <w:gridSpan w:val="2"/>
            <w:shd w:val="clear" w:color="auto" w:fill="auto"/>
            <w:vAlign w:val="center"/>
          </w:tcPr>
          <w:p w14:paraId="7A8D18E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2382" w:type="dxa"/>
            <w:shd w:val="clear" w:color="auto" w:fill="auto"/>
            <w:vAlign w:val="center"/>
          </w:tcPr>
          <w:p w14:paraId="30EC384F">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1100</w:t>
            </w:r>
          </w:p>
        </w:tc>
        <w:tc>
          <w:tcPr>
            <w:tcW w:w="1775" w:type="dxa"/>
            <w:gridSpan w:val="2"/>
            <w:shd w:val="clear" w:color="auto" w:fill="auto"/>
            <w:vAlign w:val="center"/>
          </w:tcPr>
          <w:p w14:paraId="1B06F9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2690" w:type="dxa"/>
            <w:gridSpan w:val="5"/>
            <w:shd w:val="clear" w:color="auto" w:fill="auto"/>
            <w:vAlign w:val="center"/>
          </w:tcPr>
          <w:p w14:paraId="0F6DC28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r>
      <w:tr w14:paraId="6835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48A7588F">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3CBA48F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4574" w:type="dxa"/>
            <w:gridSpan w:val="7"/>
            <w:shd w:val="clear" w:color="auto" w:fill="auto"/>
            <w:vAlign w:val="center"/>
          </w:tcPr>
          <w:p w14:paraId="675654B3">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22000</w:t>
            </w:r>
          </w:p>
        </w:tc>
        <w:tc>
          <w:tcPr>
            <w:tcW w:w="1985" w:type="dxa"/>
            <w:gridSpan w:val="2"/>
            <w:shd w:val="clear" w:color="auto" w:fill="auto"/>
            <w:vAlign w:val="center"/>
          </w:tcPr>
          <w:p w14:paraId="07368D65">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2382" w:type="dxa"/>
            <w:shd w:val="clear" w:color="auto" w:fill="auto"/>
            <w:vAlign w:val="center"/>
          </w:tcPr>
          <w:p w14:paraId="6CA95595">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1100</w:t>
            </w:r>
          </w:p>
        </w:tc>
        <w:tc>
          <w:tcPr>
            <w:tcW w:w="1775" w:type="dxa"/>
            <w:gridSpan w:val="2"/>
            <w:shd w:val="clear" w:color="auto" w:fill="auto"/>
            <w:vAlign w:val="center"/>
          </w:tcPr>
          <w:p w14:paraId="72818F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2690" w:type="dxa"/>
            <w:gridSpan w:val="5"/>
            <w:shd w:val="clear" w:color="auto" w:fill="auto"/>
            <w:vAlign w:val="center"/>
          </w:tcPr>
          <w:p w14:paraId="64DDF1A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r>
      <w:tr w14:paraId="10C4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0D52A64E">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399ADB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605" w:type="dxa"/>
            <w:shd w:val="clear" w:color="auto" w:fill="auto"/>
            <w:vAlign w:val="center"/>
          </w:tcPr>
          <w:p w14:paraId="31779D2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w:t>
            </w:r>
          </w:p>
        </w:tc>
        <w:tc>
          <w:tcPr>
            <w:tcW w:w="1276" w:type="dxa"/>
            <w:gridSpan w:val="2"/>
            <w:shd w:val="clear" w:color="auto" w:fill="auto"/>
            <w:vAlign w:val="center"/>
          </w:tcPr>
          <w:p w14:paraId="7DD79EE0">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废气治理(万元)</w:t>
            </w:r>
          </w:p>
        </w:tc>
        <w:tc>
          <w:tcPr>
            <w:tcW w:w="955" w:type="dxa"/>
            <w:shd w:val="clear" w:color="auto" w:fill="auto"/>
            <w:vAlign w:val="center"/>
          </w:tcPr>
          <w:p w14:paraId="1430286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1171" w:type="dxa"/>
            <w:gridSpan w:val="2"/>
            <w:shd w:val="clear" w:color="auto" w:fill="auto"/>
            <w:vAlign w:val="center"/>
          </w:tcPr>
          <w:p w14:paraId="5B66CDCC">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噪声治理(万元)</w:t>
            </w:r>
          </w:p>
        </w:tc>
        <w:tc>
          <w:tcPr>
            <w:tcW w:w="567" w:type="dxa"/>
            <w:shd w:val="clear" w:color="auto" w:fill="auto"/>
            <w:vAlign w:val="center"/>
          </w:tcPr>
          <w:p w14:paraId="11B70F9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1985" w:type="dxa"/>
            <w:gridSpan w:val="2"/>
            <w:shd w:val="clear" w:color="auto" w:fill="auto"/>
            <w:vAlign w:val="center"/>
          </w:tcPr>
          <w:p w14:paraId="6AC730BE">
            <w:pPr>
              <w:jc w:val="left"/>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固体废物治理(万元)</w:t>
            </w:r>
          </w:p>
        </w:tc>
        <w:tc>
          <w:tcPr>
            <w:tcW w:w="2382" w:type="dxa"/>
            <w:shd w:val="clear" w:color="auto" w:fill="auto"/>
            <w:vAlign w:val="center"/>
          </w:tcPr>
          <w:p w14:paraId="26CDDF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w:t>
            </w:r>
          </w:p>
        </w:tc>
        <w:tc>
          <w:tcPr>
            <w:tcW w:w="1775" w:type="dxa"/>
            <w:gridSpan w:val="2"/>
            <w:shd w:val="clear" w:color="auto" w:fill="auto"/>
            <w:vAlign w:val="center"/>
          </w:tcPr>
          <w:p w14:paraId="1B18CB41">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绿化及生态(万元)</w:t>
            </w:r>
          </w:p>
        </w:tc>
        <w:tc>
          <w:tcPr>
            <w:tcW w:w="946" w:type="dxa"/>
            <w:gridSpan w:val="2"/>
            <w:shd w:val="clear" w:color="auto" w:fill="auto"/>
            <w:vAlign w:val="center"/>
          </w:tcPr>
          <w:p w14:paraId="4C8656F9">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w:t>
            </w:r>
          </w:p>
        </w:tc>
        <w:tc>
          <w:tcPr>
            <w:tcW w:w="1134" w:type="dxa"/>
            <w:gridSpan w:val="2"/>
            <w:shd w:val="clear" w:color="auto" w:fill="auto"/>
            <w:vAlign w:val="center"/>
          </w:tcPr>
          <w:p w14:paraId="619585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其他(万元)</w:t>
            </w:r>
          </w:p>
        </w:tc>
        <w:tc>
          <w:tcPr>
            <w:tcW w:w="610" w:type="dxa"/>
            <w:shd w:val="clear" w:color="auto" w:fill="auto"/>
            <w:vAlign w:val="center"/>
          </w:tcPr>
          <w:p w14:paraId="5B4A895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14:paraId="3390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14:paraId="0AF3B535">
            <w:pPr>
              <w:jc w:val="center"/>
              <w:rPr>
                <w:rFonts w:hint="default" w:ascii="Times New Roman" w:hAnsi="Times New Roman" w:eastAsia="宋体" w:cs="Times New Roman"/>
                <w:sz w:val="18"/>
                <w:szCs w:val="18"/>
              </w:rPr>
            </w:pPr>
          </w:p>
        </w:tc>
        <w:tc>
          <w:tcPr>
            <w:tcW w:w="2241" w:type="dxa"/>
            <w:gridSpan w:val="2"/>
            <w:shd w:val="clear" w:color="auto" w:fill="auto"/>
            <w:vAlign w:val="center"/>
          </w:tcPr>
          <w:p w14:paraId="0AEAA54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pacing w:val="-20"/>
                <w:sz w:val="18"/>
                <w:szCs w:val="18"/>
              </w:rPr>
              <w:t>新增废水处理设施能力</w:t>
            </w:r>
            <w:r>
              <w:rPr>
                <w:rFonts w:hint="eastAsia" w:ascii="Times New Roman" w:hAnsi="Times New Roman" w:eastAsia="宋体" w:cs="Times New Roman"/>
                <w:spacing w:val="-20"/>
                <w:sz w:val="18"/>
                <w:szCs w:val="18"/>
                <w:lang w:val="en-US" w:eastAsia="zh-CN"/>
              </w:rPr>
              <w:t>以及其他环保投资</w:t>
            </w:r>
          </w:p>
        </w:tc>
        <w:tc>
          <w:tcPr>
            <w:tcW w:w="4574" w:type="dxa"/>
            <w:gridSpan w:val="7"/>
            <w:shd w:val="clear" w:color="auto" w:fill="auto"/>
            <w:vAlign w:val="center"/>
          </w:tcPr>
          <w:p w14:paraId="560DA94C">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300</w:t>
            </w:r>
          </w:p>
        </w:tc>
        <w:tc>
          <w:tcPr>
            <w:tcW w:w="1985" w:type="dxa"/>
            <w:gridSpan w:val="2"/>
            <w:shd w:val="clear" w:color="auto" w:fill="auto"/>
            <w:vAlign w:val="center"/>
          </w:tcPr>
          <w:p w14:paraId="7ACA20B0">
            <w:pPr>
              <w:jc w:val="left"/>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新增废气处理设施能力</w:t>
            </w:r>
          </w:p>
        </w:tc>
        <w:tc>
          <w:tcPr>
            <w:tcW w:w="2382" w:type="dxa"/>
            <w:shd w:val="clear" w:color="auto" w:fill="auto"/>
            <w:vAlign w:val="center"/>
          </w:tcPr>
          <w:p w14:paraId="28F6A993">
            <w:pPr>
              <w:jc w:val="center"/>
              <w:rPr>
                <w:rFonts w:hint="default" w:ascii="Times New Roman" w:hAnsi="Times New Roman" w:eastAsia="宋体" w:cs="Times New Roman"/>
                <w:spacing w:val="-20"/>
                <w:sz w:val="18"/>
                <w:szCs w:val="18"/>
                <w:lang w:val="en-US" w:eastAsia="zh-CN"/>
              </w:rPr>
            </w:pPr>
            <w:r>
              <w:rPr>
                <w:rFonts w:hint="eastAsia" w:ascii="Times New Roman" w:hAnsi="Times New Roman" w:eastAsia="宋体" w:cs="Times New Roman"/>
                <w:spacing w:val="-20"/>
                <w:sz w:val="18"/>
                <w:szCs w:val="18"/>
                <w:lang w:val="en-US" w:eastAsia="zh-CN"/>
              </w:rPr>
              <w:t>900</w:t>
            </w:r>
          </w:p>
        </w:tc>
        <w:tc>
          <w:tcPr>
            <w:tcW w:w="1775" w:type="dxa"/>
            <w:gridSpan w:val="2"/>
            <w:shd w:val="clear" w:color="auto" w:fill="auto"/>
            <w:vAlign w:val="center"/>
          </w:tcPr>
          <w:p w14:paraId="0F007C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w:t>
            </w:r>
          </w:p>
        </w:tc>
        <w:tc>
          <w:tcPr>
            <w:tcW w:w="2690" w:type="dxa"/>
            <w:gridSpan w:val="5"/>
            <w:shd w:val="clear" w:color="auto" w:fill="auto"/>
            <w:vAlign w:val="center"/>
          </w:tcPr>
          <w:p w14:paraId="3FD1E9F5">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7200h</w:t>
            </w:r>
          </w:p>
        </w:tc>
      </w:tr>
      <w:tr w14:paraId="4B61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2775" w:type="dxa"/>
            <w:gridSpan w:val="3"/>
            <w:shd w:val="clear" w:color="auto" w:fill="auto"/>
            <w:vAlign w:val="center"/>
          </w:tcPr>
          <w:p w14:paraId="2502ED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2836" w:type="dxa"/>
            <w:gridSpan w:val="4"/>
            <w:shd w:val="clear" w:color="auto" w:fill="auto"/>
            <w:vAlign w:val="center"/>
          </w:tcPr>
          <w:p w14:paraId="1039EF2D">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u w:val="none"/>
                <w:lang w:eastAsia="zh-CN"/>
              </w:rPr>
              <w:t>山东瑞盟生物科技有限公司</w:t>
            </w:r>
            <w:r>
              <w:rPr>
                <w:rFonts w:hint="default" w:ascii="Times New Roman" w:hAnsi="Times New Roman" w:eastAsia="宋体" w:cs="Times New Roman"/>
                <w:sz w:val="18"/>
                <w:szCs w:val="18"/>
                <w:u w:val="none"/>
                <w:lang w:val="en-US" w:eastAsia="zh-CN"/>
              </w:rPr>
              <w:t xml:space="preserve"> </w:t>
            </w:r>
          </w:p>
        </w:tc>
        <w:tc>
          <w:tcPr>
            <w:tcW w:w="3723" w:type="dxa"/>
            <w:gridSpan w:val="5"/>
            <w:shd w:val="clear" w:color="auto" w:fill="auto"/>
            <w:vAlign w:val="center"/>
          </w:tcPr>
          <w:p w14:paraId="0CADD1E8">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运营单位统一社会信用代码(或组织机构代码)</w:t>
            </w:r>
          </w:p>
        </w:tc>
        <w:tc>
          <w:tcPr>
            <w:tcW w:w="2382" w:type="dxa"/>
            <w:shd w:val="clear" w:color="auto" w:fill="auto"/>
            <w:vAlign w:val="center"/>
          </w:tcPr>
          <w:p w14:paraId="1BC92ABF">
            <w:pPr>
              <w:jc w:val="center"/>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color w:val="auto"/>
                <w:sz w:val="18"/>
                <w:szCs w:val="18"/>
                <w:lang w:val="en-US" w:eastAsia="zh-CN"/>
              </w:rPr>
              <w:t>91371722</w:t>
            </w:r>
            <w:r>
              <w:rPr>
                <w:rFonts w:hint="eastAsia" w:ascii="Times New Roman" w:hAnsi="Times New Roman" w:eastAsia="宋体" w:cs="Times New Roman"/>
                <w:color w:val="auto"/>
                <w:sz w:val="18"/>
                <w:szCs w:val="18"/>
                <w:lang w:val="en-US" w:eastAsia="zh-CN"/>
              </w:rPr>
              <w:t>3MABXLCBD0Y</w:t>
            </w:r>
          </w:p>
        </w:tc>
        <w:tc>
          <w:tcPr>
            <w:tcW w:w="1775" w:type="dxa"/>
            <w:gridSpan w:val="2"/>
            <w:shd w:val="clear" w:color="auto" w:fill="auto"/>
            <w:vAlign w:val="center"/>
          </w:tcPr>
          <w:p w14:paraId="3DF922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2690" w:type="dxa"/>
            <w:gridSpan w:val="5"/>
            <w:shd w:val="clear" w:color="auto" w:fill="auto"/>
            <w:vAlign w:val="center"/>
          </w:tcPr>
          <w:p w14:paraId="3B23137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auto"/>
                <w:sz w:val="18"/>
                <w:szCs w:val="18"/>
                <w:lang w:val="en-US" w:eastAsia="zh-CN"/>
              </w:rPr>
              <w:t>202</w:t>
            </w:r>
            <w:r>
              <w:rPr>
                <w:rFonts w:hint="eastAsia" w:ascii="Times New Roman" w:hAnsi="Times New Roman" w:eastAsia="宋体" w:cs="Times New Roman"/>
                <w:color w:val="auto"/>
                <w:sz w:val="18"/>
                <w:szCs w:val="18"/>
                <w:lang w:val="en-US" w:eastAsia="zh-CN"/>
              </w:rPr>
              <w:t>5.3</w:t>
            </w:r>
          </w:p>
        </w:tc>
      </w:tr>
      <w:tr w14:paraId="20D0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restart"/>
            <w:shd w:val="clear" w:color="auto" w:fill="auto"/>
            <w:vAlign w:val="center"/>
          </w:tcPr>
          <w:p w14:paraId="65D8FA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污染物排放达标与总量控制(工业建设项目详填)</w:t>
            </w:r>
          </w:p>
        </w:tc>
        <w:tc>
          <w:tcPr>
            <w:tcW w:w="2100" w:type="dxa"/>
            <w:shd w:val="clear" w:color="auto" w:fill="auto"/>
            <w:vAlign w:val="center"/>
          </w:tcPr>
          <w:p w14:paraId="278E18B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605" w:type="dxa"/>
            <w:shd w:val="clear" w:color="auto" w:fill="auto"/>
            <w:vAlign w:val="center"/>
          </w:tcPr>
          <w:p w14:paraId="2F86FFCD">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原有排放量(1)</w:t>
            </w:r>
          </w:p>
        </w:tc>
        <w:tc>
          <w:tcPr>
            <w:tcW w:w="1134" w:type="dxa"/>
            <w:shd w:val="clear" w:color="auto" w:fill="auto"/>
            <w:vAlign w:val="center"/>
          </w:tcPr>
          <w:p w14:paraId="2136B0FE">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本期工程实际排放浓度(2)</w:t>
            </w:r>
          </w:p>
        </w:tc>
        <w:tc>
          <w:tcPr>
            <w:tcW w:w="1097" w:type="dxa"/>
            <w:gridSpan w:val="2"/>
            <w:shd w:val="clear" w:color="auto" w:fill="auto"/>
            <w:vAlign w:val="center"/>
          </w:tcPr>
          <w:p w14:paraId="5A60CF3A">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本期工程允许排放浓度(3)</w:t>
            </w:r>
          </w:p>
        </w:tc>
        <w:tc>
          <w:tcPr>
            <w:tcW w:w="888" w:type="dxa"/>
            <w:shd w:val="clear" w:color="auto" w:fill="auto"/>
            <w:vAlign w:val="center"/>
          </w:tcPr>
          <w:p w14:paraId="3EA979E2">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本期工程产生量(4)</w:t>
            </w:r>
          </w:p>
        </w:tc>
        <w:tc>
          <w:tcPr>
            <w:tcW w:w="850" w:type="dxa"/>
            <w:gridSpan w:val="2"/>
            <w:shd w:val="clear" w:color="auto" w:fill="auto"/>
            <w:vAlign w:val="center"/>
          </w:tcPr>
          <w:p w14:paraId="7E56CEDB">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本期工程自身削减量(5)</w:t>
            </w:r>
          </w:p>
        </w:tc>
        <w:tc>
          <w:tcPr>
            <w:tcW w:w="1134" w:type="dxa"/>
            <w:shd w:val="clear" w:color="auto" w:fill="auto"/>
            <w:vAlign w:val="center"/>
          </w:tcPr>
          <w:p w14:paraId="5B0AF7C6">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本期工程实际排放量(6)</w:t>
            </w:r>
          </w:p>
        </w:tc>
        <w:tc>
          <w:tcPr>
            <w:tcW w:w="851" w:type="dxa"/>
            <w:shd w:val="clear" w:color="auto" w:fill="auto"/>
            <w:vAlign w:val="center"/>
          </w:tcPr>
          <w:p w14:paraId="27432A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本期工程核定排放(7)</w:t>
            </w:r>
          </w:p>
        </w:tc>
        <w:tc>
          <w:tcPr>
            <w:tcW w:w="2382" w:type="dxa"/>
            <w:shd w:val="clear" w:color="auto" w:fill="auto"/>
            <w:vAlign w:val="center"/>
          </w:tcPr>
          <w:p w14:paraId="4999432B">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本期工程</w:t>
            </w:r>
            <w:r>
              <w:rPr>
                <w:rFonts w:hint="eastAsia" w:ascii="Times New Roman" w:hAnsi="Times New Roman" w:eastAsia="宋体" w:cs="Times New Roman"/>
                <w:spacing w:val="-20"/>
                <w:sz w:val="18"/>
                <w:szCs w:val="18"/>
                <w:lang w:eastAsia="zh-CN"/>
              </w:rPr>
              <w:t>“</w:t>
            </w:r>
            <w:r>
              <w:rPr>
                <w:rFonts w:hint="default" w:ascii="Times New Roman" w:hAnsi="Times New Roman" w:eastAsia="宋体" w:cs="Times New Roman"/>
                <w:spacing w:val="-20"/>
                <w:sz w:val="18"/>
                <w:szCs w:val="18"/>
              </w:rPr>
              <w:t>以新带老</w:t>
            </w:r>
            <w:r>
              <w:rPr>
                <w:rFonts w:hint="eastAsia" w:ascii="Times New Roman" w:hAnsi="Times New Roman" w:eastAsia="宋体" w:cs="Times New Roman"/>
                <w:spacing w:val="-20"/>
                <w:sz w:val="18"/>
                <w:szCs w:val="18"/>
                <w:lang w:eastAsia="zh-CN"/>
              </w:rPr>
              <w:t>”</w:t>
            </w:r>
            <w:r>
              <w:rPr>
                <w:rFonts w:hint="default" w:ascii="Times New Roman" w:hAnsi="Times New Roman" w:eastAsia="宋体" w:cs="Times New Roman"/>
                <w:spacing w:val="-20"/>
                <w:sz w:val="18"/>
                <w:szCs w:val="18"/>
              </w:rPr>
              <w:t>削减量(8)</w:t>
            </w:r>
          </w:p>
        </w:tc>
        <w:tc>
          <w:tcPr>
            <w:tcW w:w="1303" w:type="dxa"/>
            <w:shd w:val="clear" w:color="auto" w:fill="auto"/>
            <w:vAlign w:val="center"/>
          </w:tcPr>
          <w:p w14:paraId="6A8DACC6">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全厂实际排放量(9)</w:t>
            </w:r>
          </w:p>
        </w:tc>
        <w:tc>
          <w:tcPr>
            <w:tcW w:w="993" w:type="dxa"/>
            <w:gridSpan w:val="2"/>
            <w:shd w:val="clear" w:color="auto" w:fill="auto"/>
            <w:vAlign w:val="center"/>
          </w:tcPr>
          <w:p w14:paraId="639C5042">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全厂核定排放总量(10)</w:t>
            </w:r>
          </w:p>
        </w:tc>
        <w:tc>
          <w:tcPr>
            <w:tcW w:w="890" w:type="dxa"/>
            <w:gridSpan w:val="2"/>
            <w:shd w:val="clear" w:color="auto" w:fill="auto"/>
            <w:vAlign w:val="center"/>
          </w:tcPr>
          <w:p w14:paraId="2FF00083">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区域平衡替代削减量(11)</w:t>
            </w:r>
          </w:p>
        </w:tc>
        <w:tc>
          <w:tcPr>
            <w:tcW w:w="1279" w:type="dxa"/>
            <w:gridSpan w:val="2"/>
            <w:shd w:val="clear" w:color="auto" w:fill="auto"/>
            <w:vAlign w:val="center"/>
          </w:tcPr>
          <w:p w14:paraId="5C60694A">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排放增减量(12)</w:t>
            </w:r>
          </w:p>
        </w:tc>
      </w:tr>
      <w:tr w14:paraId="4C69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2C7E8E96">
            <w:pPr>
              <w:jc w:val="center"/>
              <w:rPr>
                <w:rFonts w:hint="default" w:ascii="Times New Roman" w:hAnsi="Times New Roman" w:eastAsia="宋体" w:cs="Times New Roman"/>
                <w:sz w:val="18"/>
                <w:szCs w:val="18"/>
              </w:rPr>
            </w:pPr>
          </w:p>
        </w:tc>
        <w:tc>
          <w:tcPr>
            <w:tcW w:w="2100" w:type="dxa"/>
            <w:shd w:val="clear" w:color="auto" w:fill="auto"/>
            <w:vAlign w:val="center"/>
          </w:tcPr>
          <w:p w14:paraId="49A9F600">
            <w:pPr>
              <w:pStyle w:val="52"/>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z w:val="18"/>
                <w:szCs w:val="18"/>
              </w:rPr>
            </w:pPr>
            <w:r>
              <w:rPr>
                <w:rFonts w:hint="default" w:ascii="Times New Roman" w:hAnsi="Times New Roman" w:eastAsia="宋体" w:cs="Times New Roman"/>
                <w:snapToGrid w:val="0"/>
                <w:color w:val="auto"/>
                <w:kern w:val="21"/>
                <w:sz w:val="18"/>
                <w:szCs w:val="18"/>
                <w:shd w:val="clear" w:color="auto" w:fill="auto"/>
                <w:lang w:val="en-US" w:eastAsia="zh-CN"/>
              </w:rPr>
              <w:t>VOCs</w:t>
            </w:r>
          </w:p>
        </w:tc>
        <w:tc>
          <w:tcPr>
            <w:tcW w:w="605" w:type="dxa"/>
            <w:shd w:val="clear" w:color="auto" w:fill="auto"/>
            <w:vAlign w:val="center"/>
          </w:tcPr>
          <w:p w14:paraId="6A92236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3387F2C9">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1.859</w:t>
            </w: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1097" w:type="dxa"/>
            <w:gridSpan w:val="2"/>
            <w:shd w:val="clear" w:color="auto" w:fill="auto"/>
            <w:vAlign w:val="center"/>
          </w:tcPr>
          <w:p w14:paraId="28DD5A0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w:t>
            </w: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888" w:type="dxa"/>
            <w:shd w:val="clear" w:color="auto" w:fill="auto"/>
            <w:vAlign w:val="center"/>
          </w:tcPr>
          <w:p w14:paraId="5ED3FF4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332264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3C498C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72A9F1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0EE26A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3BD2A3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6BDF4E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60D9314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0A4A4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0B8A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61C47F79">
            <w:pPr>
              <w:jc w:val="center"/>
              <w:rPr>
                <w:rFonts w:hint="default" w:ascii="Times New Roman" w:hAnsi="Times New Roman" w:eastAsia="宋体" w:cs="Times New Roman"/>
                <w:sz w:val="18"/>
                <w:szCs w:val="18"/>
              </w:rPr>
            </w:pPr>
          </w:p>
        </w:tc>
        <w:tc>
          <w:tcPr>
            <w:tcW w:w="2100" w:type="dxa"/>
            <w:shd w:val="clear" w:color="auto" w:fill="auto"/>
            <w:vAlign w:val="center"/>
          </w:tcPr>
          <w:p w14:paraId="40DD3A13">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shd w:val="clear" w:color="auto" w:fill="auto"/>
                <w:lang w:val="en-US" w:eastAsia="zh-CN"/>
              </w:rPr>
              <w:t>生活垃圾</w:t>
            </w:r>
          </w:p>
        </w:tc>
        <w:tc>
          <w:tcPr>
            <w:tcW w:w="605" w:type="dxa"/>
            <w:shd w:val="clear" w:color="auto" w:fill="auto"/>
            <w:vAlign w:val="center"/>
          </w:tcPr>
          <w:p w14:paraId="15960D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3B6D7A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063EF7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3621183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29D50C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7AA9E9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4E68CD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40F9651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5A4BB9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041927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5A8BAA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5BC761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1DE9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473A0C74">
            <w:pPr>
              <w:jc w:val="center"/>
              <w:rPr>
                <w:rFonts w:hint="default" w:ascii="Times New Roman" w:hAnsi="Times New Roman" w:eastAsia="宋体" w:cs="Times New Roman"/>
                <w:sz w:val="18"/>
                <w:szCs w:val="18"/>
              </w:rPr>
            </w:pPr>
          </w:p>
        </w:tc>
        <w:tc>
          <w:tcPr>
            <w:tcW w:w="2100" w:type="dxa"/>
            <w:shd w:val="clear" w:color="auto" w:fill="auto"/>
            <w:vAlign w:val="center"/>
          </w:tcPr>
          <w:p w14:paraId="223A4ED8">
            <w:pPr>
              <w:keepNext w:val="0"/>
              <w:keepLines w:val="0"/>
              <w:suppressLineNumbers w:val="0"/>
              <w:bidi w:val="0"/>
              <w:spacing w:before="0" w:beforeAutospacing="0" w:after="0" w:afterAutospacing="0" w:line="240" w:lineRule="auto"/>
              <w:ind w:left="0" w:leftChars="0" w:right="0" w:rightChars="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污泥</w:t>
            </w:r>
          </w:p>
        </w:tc>
        <w:tc>
          <w:tcPr>
            <w:tcW w:w="605" w:type="dxa"/>
            <w:shd w:val="clear" w:color="auto" w:fill="auto"/>
            <w:vAlign w:val="center"/>
          </w:tcPr>
          <w:p w14:paraId="472761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56B3C7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0EBA7E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1206B9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7943DAC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448C9E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436418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59DD93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4BA56F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4BFEF4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029CEB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67ED6B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1301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2881C5DB">
            <w:pPr>
              <w:jc w:val="center"/>
              <w:rPr>
                <w:rFonts w:hint="default" w:ascii="Times New Roman" w:hAnsi="Times New Roman" w:eastAsia="宋体" w:cs="Times New Roman"/>
                <w:sz w:val="18"/>
                <w:szCs w:val="18"/>
              </w:rPr>
            </w:pPr>
          </w:p>
        </w:tc>
        <w:tc>
          <w:tcPr>
            <w:tcW w:w="2100" w:type="dxa"/>
            <w:shd w:val="clear" w:color="auto" w:fill="auto"/>
            <w:vAlign w:val="center"/>
          </w:tcPr>
          <w:p w14:paraId="370C7101">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废活性炭</w:t>
            </w:r>
          </w:p>
        </w:tc>
        <w:tc>
          <w:tcPr>
            <w:tcW w:w="605" w:type="dxa"/>
            <w:shd w:val="clear" w:color="auto" w:fill="auto"/>
            <w:vAlign w:val="center"/>
          </w:tcPr>
          <w:p w14:paraId="5D4DBF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6EAE2C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0BB8BF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3F481F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252601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5D2C8D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13.2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5A5104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3F3EB6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580B1C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13.2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0B0171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13.2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71322E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306C8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+13.2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53A9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75" w:type="dxa"/>
            <w:gridSpan w:val="2"/>
            <w:vMerge w:val="continue"/>
            <w:shd w:val="clear" w:color="auto" w:fill="auto"/>
            <w:vAlign w:val="center"/>
          </w:tcPr>
          <w:p w14:paraId="2AF6A5C3">
            <w:pPr>
              <w:jc w:val="center"/>
              <w:rPr>
                <w:rFonts w:hint="default" w:ascii="Times New Roman" w:hAnsi="Times New Roman" w:eastAsia="宋体" w:cs="Times New Roman"/>
                <w:sz w:val="18"/>
                <w:szCs w:val="18"/>
              </w:rPr>
            </w:pPr>
          </w:p>
        </w:tc>
        <w:tc>
          <w:tcPr>
            <w:tcW w:w="2100" w:type="dxa"/>
            <w:shd w:val="clear" w:color="auto" w:fill="auto"/>
            <w:vAlign w:val="center"/>
          </w:tcPr>
          <w:p w14:paraId="44CC28B1">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精馏残液</w:t>
            </w:r>
          </w:p>
        </w:tc>
        <w:tc>
          <w:tcPr>
            <w:tcW w:w="605" w:type="dxa"/>
            <w:shd w:val="clear" w:color="auto" w:fill="auto"/>
            <w:vAlign w:val="center"/>
          </w:tcPr>
          <w:p w14:paraId="1342361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59C751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2A74FE6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00743D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3949AA7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0F9DAF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17.03</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0024A2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4874B6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36935D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17.03</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22A0A9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17.03</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41240B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10C700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+17.03</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7907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24CB9986">
            <w:pPr>
              <w:jc w:val="center"/>
              <w:rPr>
                <w:rFonts w:hint="default" w:ascii="Times New Roman" w:hAnsi="Times New Roman" w:eastAsia="宋体" w:cs="Times New Roman"/>
                <w:sz w:val="18"/>
                <w:szCs w:val="18"/>
              </w:rPr>
            </w:pPr>
          </w:p>
        </w:tc>
        <w:tc>
          <w:tcPr>
            <w:tcW w:w="2100" w:type="dxa"/>
            <w:shd w:val="clear" w:color="auto" w:fill="auto"/>
            <w:vAlign w:val="center"/>
          </w:tcPr>
          <w:p w14:paraId="19710F6D">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废过滤膜及废过滤材料</w:t>
            </w:r>
          </w:p>
        </w:tc>
        <w:tc>
          <w:tcPr>
            <w:tcW w:w="605" w:type="dxa"/>
            <w:shd w:val="clear" w:color="auto" w:fill="auto"/>
            <w:vAlign w:val="center"/>
          </w:tcPr>
          <w:p w14:paraId="6D87E92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0D15421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3C7C077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36062D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0DC475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509FBC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6</w:t>
            </w: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700572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386EFC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3B7ECC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6</w:t>
            </w: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4CDD86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6</w:t>
            </w: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54C2F7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2CC28E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+6</w:t>
            </w: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t/a</w:t>
            </w:r>
          </w:p>
        </w:tc>
      </w:tr>
      <w:tr w14:paraId="65E5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14:paraId="6567434F">
            <w:pPr>
              <w:jc w:val="center"/>
              <w:rPr>
                <w:rFonts w:hint="default" w:ascii="Times New Roman" w:hAnsi="Times New Roman" w:eastAsia="宋体" w:cs="Times New Roman"/>
                <w:sz w:val="18"/>
                <w:szCs w:val="18"/>
              </w:rPr>
            </w:pPr>
          </w:p>
        </w:tc>
        <w:tc>
          <w:tcPr>
            <w:tcW w:w="2100" w:type="dxa"/>
            <w:shd w:val="clear" w:color="auto" w:fill="auto"/>
            <w:vAlign w:val="center"/>
          </w:tcPr>
          <w:p w14:paraId="28F14626">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过滤残渣</w:t>
            </w:r>
          </w:p>
        </w:tc>
        <w:tc>
          <w:tcPr>
            <w:tcW w:w="605" w:type="dxa"/>
            <w:shd w:val="clear" w:color="auto" w:fill="auto"/>
            <w:vAlign w:val="center"/>
          </w:tcPr>
          <w:p w14:paraId="6A427F6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6644985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097" w:type="dxa"/>
            <w:gridSpan w:val="2"/>
            <w:shd w:val="clear" w:color="auto" w:fill="auto"/>
            <w:vAlign w:val="center"/>
          </w:tcPr>
          <w:p w14:paraId="7185EC4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88" w:type="dxa"/>
            <w:shd w:val="clear" w:color="auto" w:fill="auto"/>
            <w:vAlign w:val="center"/>
          </w:tcPr>
          <w:p w14:paraId="12722B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50" w:type="dxa"/>
            <w:gridSpan w:val="2"/>
            <w:shd w:val="clear" w:color="auto" w:fill="auto"/>
            <w:vAlign w:val="center"/>
          </w:tcPr>
          <w:p w14:paraId="0789F05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134" w:type="dxa"/>
            <w:shd w:val="clear" w:color="auto" w:fill="auto"/>
            <w:vAlign w:val="center"/>
          </w:tcPr>
          <w:p w14:paraId="41819D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51" w:type="dxa"/>
            <w:shd w:val="clear" w:color="auto" w:fill="auto"/>
            <w:vAlign w:val="center"/>
          </w:tcPr>
          <w:p w14:paraId="6A9AB1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2382" w:type="dxa"/>
            <w:shd w:val="clear" w:color="auto" w:fill="auto"/>
            <w:vAlign w:val="center"/>
          </w:tcPr>
          <w:p w14:paraId="6B8511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303" w:type="dxa"/>
            <w:shd w:val="clear" w:color="auto" w:fill="auto"/>
            <w:vAlign w:val="center"/>
          </w:tcPr>
          <w:p w14:paraId="0A8AB4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93" w:type="dxa"/>
            <w:gridSpan w:val="2"/>
            <w:shd w:val="clear" w:color="auto" w:fill="auto"/>
            <w:vAlign w:val="center"/>
          </w:tcPr>
          <w:p w14:paraId="409D5D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890" w:type="dxa"/>
            <w:gridSpan w:val="2"/>
            <w:shd w:val="clear" w:color="auto" w:fill="auto"/>
            <w:vAlign w:val="center"/>
          </w:tcPr>
          <w:p w14:paraId="16EBB82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279" w:type="dxa"/>
            <w:gridSpan w:val="2"/>
            <w:shd w:val="clear" w:color="auto" w:fill="auto"/>
            <w:vAlign w:val="center"/>
          </w:tcPr>
          <w:p w14:paraId="1143CD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18"/>
                <w:szCs w:val="18"/>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r>
      <w:tr w14:paraId="1DB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tcBorders>
              <w:left w:val="nil"/>
              <w:bottom w:val="nil"/>
              <w:right w:val="nil"/>
            </w:tcBorders>
            <w:shd w:val="clear" w:color="auto" w:fill="FFFFFF" w:themeFill="background1"/>
            <w:vAlign w:val="center"/>
          </w:tcPr>
          <w:p w14:paraId="3A0666F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p>
        </w:tc>
        <w:tc>
          <w:tcPr>
            <w:tcW w:w="15506" w:type="dxa"/>
            <w:gridSpan w:val="18"/>
            <w:tcBorders>
              <w:left w:val="nil"/>
              <w:bottom w:val="nil"/>
              <w:right w:val="nil"/>
            </w:tcBorders>
            <w:shd w:val="clear" w:color="auto" w:fill="FFFFFF" w:themeFill="background1"/>
            <w:vAlign w:val="center"/>
          </w:tcPr>
          <w:p w14:paraId="68129A61">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排放增减量：(+)表示增加、(—)表示减少；2、(12)=(6)—(8)—(11)、(9)=(4)—(5)—(8)-(11)+(1)；3、计量单位：废水排放量——万吨/年；废气排放量——万标立方米/年；工业固体废物排放量——万吨/年；水污染排放浓度——毫克/升；</w:t>
            </w:r>
          </w:p>
        </w:tc>
      </w:tr>
    </w:tbl>
    <w:p w14:paraId="5A04134C">
      <w:pPr>
        <w:pStyle w:val="3"/>
        <w:spacing w:after="0" w:line="360" w:lineRule="auto"/>
        <w:ind w:left="0" w:firstLine="562" w:firstLineChars="200"/>
        <w:rPr>
          <w:rFonts w:hint="default" w:ascii="Times New Roman" w:hAnsi="Times New Roman" w:cs="Times New Roman"/>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636E030D">
      <w:pPr>
        <w:pStyle w:val="4"/>
        <w:rPr>
          <w:rFonts w:hint="eastAsia" w:ascii="Times New Roman" w:hAnsi="Times New Roman" w:cs="Times New Roman"/>
          <w:b/>
          <w:bCs/>
          <w:lang w:val="en-US" w:eastAsia="zh-CN"/>
        </w:rPr>
      </w:pPr>
      <w:r>
        <w:rPr>
          <w:rFonts w:hint="default" w:ascii="Times New Roman" w:hAnsi="Times New Roman" w:cs="Times New Roman"/>
          <w:b/>
          <w:bCs/>
        </w:rPr>
        <w:t>附件1：</w:t>
      </w:r>
      <w:r>
        <w:rPr>
          <w:rFonts w:hint="eastAsia" w:ascii="Times New Roman" w:hAnsi="Times New Roman" w:cs="Times New Roman"/>
          <w:b/>
          <w:bCs/>
          <w:lang w:val="en-US" w:eastAsia="zh-CN"/>
        </w:rPr>
        <w:t>项目备案表</w:t>
      </w:r>
    </w:p>
    <w:p w14:paraId="1E6D8FC1">
      <w:pPr>
        <w:rPr>
          <w:rFonts w:hint="eastAsia" w:ascii="Times New Roman" w:hAnsi="Times New Roman" w:cs="Times New Roman"/>
          <w:b/>
          <w:bCs/>
          <w:lang w:val="en-US" w:eastAsia="zh-CN"/>
        </w:rPr>
      </w:pPr>
    </w:p>
    <w:p w14:paraId="7E205E72">
      <w:pPr>
        <w:pStyle w:val="2"/>
        <w:ind w:left="0" w:leftChars="0" w:firstLine="0" w:firstLineChars="0"/>
        <w:rPr>
          <w:rFonts w:hint="default"/>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24500" cy="7512685"/>
            <wp:effectExtent l="0" t="0" r="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3"/>
                    <a:stretch>
                      <a:fillRect/>
                    </a:stretch>
                  </pic:blipFill>
                  <pic:spPr>
                    <a:xfrm>
                      <a:off x="0" y="0"/>
                      <a:ext cx="5524500" cy="7512685"/>
                    </a:xfrm>
                    <a:prstGeom prst="rect">
                      <a:avLst/>
                    </a:prstGeom>
                    <a:noFill/>
                    <a:ln>
                      <a:noFill/>
                    </a:ln>
                  </pic:spPr>
                </pic:pic>
              </a:graphicData>
            </a:graphic>
          </wp:inline>
        </w:drawing>
      </w:r>
    </w:p>
    <w:p w14:paraId="3BE2F5B7">
      <w:pPr>
        <w:pStyle w:val="8"/>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rPr>
      </w:pPr>
      <w:bookmarkStart w:id="94" w:name="_Toc27000"/>
      <w:bookmarkStart w:id="95" w:name="_Toc523388561"/>
      <w:r>
        <w:rPr>
          <w:rFonts w:hint="default" w:ascii="Times New Roman" w:hAnsi="Times New Roman" w:cs="Times New Roman"/>
        </w:rPr>
        <w:t>附件2：环评批复</w:t>
      </w:r>
      <w:bookmarkEnd w:id="94"/>
      <w:bookmarkEnd w:id="95"/>
    </w:p>
    <w:p w14:paraId="2463AF58">
      <w:pPr>
        <w:jc w:val="center"/>
        <w:rPr>
          <w:rFonts w:hint="eastAsia" w:eastAsiaTheme="minorEastAsia"/>
          <w:lang w:eastAsia="zh-CN"/>
        </w:rPr>
      </w:pPr>
    </w:p>
    <w:p w14:paraId="18A67D74">
      <w:pPr>
        <w:rPr>
          <w:rFonts w:hint="default"/>
        </w:rPr>
      </w:pPr>
      <w:r>
        <w:drawing>
          <wp:inline distT="0" distB="0" distL="114300" distR="114300">
            <wp:extent cx="5057775" cy="74009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5057775" cy="7400925"/>
                    </a:xfrm>
                    <a:prstGeom prst="rect">
                      <a:avLst/>
                    </a:prstGeom>
                    <a:noFill/>
                    <a:ln>
                      <a:noFill/>
                    </a:ln>
                  </pic:spPr>
                </pic:pic>
              </a:graphicData>
            </a:graphic>
          </wp:inline>
        </w:drawing>
      </w:r>
    </w:p>
    <w:p w14:paraId="4AE4C090">
      <w:pPr>
        <w:rPr>
          <w:rFonts w:hint="eastAsia" w:ascii="Times New Roman" w:hAnsi="Times New Roman" w:eastAsia="仿宋_GB2312" w:cs="Times New Roman"/>
          <w:b/>
          <w:sz w:val="44"/>
          <w:szCs w:val="44"/>
          <w:lang w:eastAsia="zh-CN"/>
        </w:rPr>
      </w:pPr>
    </w:p>
    <w:p w14:paraId="69400A7C">
      <w:pPr>
        <w:pStyle w:val="32"/>
        <w:ind w:left="0" w:leftChars="0" w:firstLine="0" w:firstLineChars="0"/>
        <w:rPr>
          <w:rFonts w:hint="eastAsia" w:ascii="Times New Roman" w:hAnsi="Times New Roman" w:eastAsia="仿宋_GB2312" w:cs="Times New Roman"/>
          <w:b/>
          <w:sz w:val="44"/>
          <w:szCs w:val="44"/>
          <w:lang w:eastAsia="zh-CN"/>
        </w:rPr>
        <w:sectPr>
          <w:headerReference r:id="rId15" w:type="default"/>
          <w:footerReference r:id="rId16"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7B7793AE">
      <w:pPr>
        <w:pStyle w:val="28"/>
        <w:jc w:val="both"/>
        <w:rPr>
          <w:rFonts w:hint="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06720" cy="7893050"/>
            <wp:effectExtent l="0" t="0" r="1778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5"/>
                    <a:stretch>
                      <a:fillRect/>
                    </a:stretch>
                  </pic:blipFill>
                  <pic:spPr>
                    <a:xfrm>
                      <a:off x="0" y="0"/>
                      <a:ext cx="5506720" cy="7893050"/>
                    </a:xfrm>
                    <a:prstGeom prst="rect">
                      <a:avLst/>
                    </a:prstGeom>
                    <a:noFill/>
                    <a:ln>
                      <a:noFill/>
                    </a:ln>
                  </pic:spPr>
                </pic:pic>
              </a:graphicData>
            </a:graphic>
          </wp:inline>
        </w:drawing>
      </w:r>
    </w:p>
    <w:p w14:paraId="2D5E09C4">
      <w:pPr>
        <w:pStyle w:val="8"/>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rPr>
      </w:pPr>
      <w:bookmarkStart w:id="96" w:name="_Toc10372"/>
      <w:bookmarkStart w:id="97" w:name="_Toc523409025"/>
      <w:bookmarkStart w:id="98" w:name="_Toc523388573"/>
      <w:r>
        <w:drawing>
          <wp:inline distT="0" distB="0" distL="114300" distR="114300">
            <wp:extent cx="5502275" cy="7670800"/>
            <wp:effectExtent l="0" t="0" r="3175"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6"/>
                    <a:stretch>
                      <a:fillRect/>
                    </a:stretch>
                  </pic:blipFill>
                  <pic:spPr>
                    <a:xfrm>
                      <a:off x="0" y="0"/>
                      <a:ext cx="5502275" cy="7670800"/>
                    </a:xfrm>
                    <a:prstGeom prst="rect">
                      <a:avLst/>
                    </a:prstGeom>
                    <a:noFill/>
                    <a:ln>
                      <a:noFill/>
                    </a:ln>
                  </pic:spPr>
                </pic:pic>
              </a:graphicData>
            </a:graphic>
          </wp:inline>
        </w:drawing>
      </w:r>
    </w:p>
    <w:p w14:paraId="1ED5766B">
      <w:pPr>
        <w:pStyle w:val="8"/>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cs="Times New Roman" w:eastAsiaTheme="major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516BEA09">
      <w:p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58790" cy="8227695"/>
            <wp:effectExtent l="0" t="0" r="3810"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7"/>
                    <a:stretch>
                      <a:fillRect/>
                    </a:stretch>
                  </pic:blipFill>
                  <pic:spPr>
                    <a:xfrm>
                      <a:off x="0" y="0"/>
                      <a:ext cx="5558790" cy="8227695"/>
                    </a:xfrm>
                    <a:prstGeom prst="rect">
                      <a:avLst/>
                    </a:prstGeom>
                    <a:noFill/>
                    <a:ln>
                      <a:noFill/>
                    </a:ln>
                  </pic:spPr>
                </pic:pic>
              </a:graphicData>
            </a:graphic>
          </wp:inline>
        </w:drawing>
      </w:r>
    </w:p>
    <w:p w14:paraId="26D9A50F">
      <w:pPr>
        <w:pStyle w:val="8"/>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附件</w:t>
      </w:r>
      <w:r>
        <w:rPr>
          <w:rFonts w:hint="eastAsia" w:ascii="Times New Roman" w:hAnsi="Times New Roman" w:cs="Times New Roman"/>
          <w:lang w:val="en-US" w:eastAsia="zh-CN"/>
        </w:rPr>
        <w:t>3：</w:t>
      </w:r>
      <w:r>
        <w:rPr>
          <w:rFonts w:hint="default" w:ascii="Times New Roman" w:hAnsi="Times New Roman" w:cs="Times New Roman"/>
          <w:lang w:val="en-US" w:eastAsia="zh-CN"/>
        </w:rPr>
        <w:t>排污许可证</w:t>
      </w:r>
    </w:p>
    <w:p w14:paraId="40E945E0">
      <w:pPr>
        <w:pStyle w:val="2"/>
        <w:rPr>
          <w:rFonts w:hint="eastAsia"/>
          <w:lang w:eastAsia="zh-CN"/>
        </w:rPr>
      </w:pPr>
    </w:p>
    <w:p w14:paraId="1BDB1453">
      <w:pPr>
        <w:rPr>
          <w:rFonts w:hint="eastAsia"/>
          <w:lang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eastAsia="zh-CN"/>
        </w:rPr>
        <w:drawing>
          <wp:inline distT="0" distB="0" distL="114300" distR="114300">
            <wp:extent cx="8886825" cy="5107940"/>
            <wp:effectExtent l="0" t="0" r="9525" b="16510"/>
            <wp:docPr id="11" name="图片 11" descr="e5d6b210bd177a1e87ebf5b90bea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d6b210bd177a1e87ebf5b90bea51b"/>
                    <pic:cNvPicPr>
                      <a:picLocks noChangeAspect="1"/>
                    </pic:cNvPicPr>
                  </pic:nvPicPr>
                  <pic:blipFill>
                    <a:blip r:embed="rId38"/>
                    <a:stretch>
                      <a:fillRect/>
                    </a:stretch>
                  </pic:blipFill>
                  <pic:spPr>
                    <a:xfrm>
                      <a:off x="0" y="0"/>
                      <a:ext cx="8886825" cy="5107940"/>
                    </a:xfrm>
                    <a:prstGeom prst="rect">
                      <a:avLst/>
                    </a:prstGeom>
                  </pic:spPr>
                </pic:pic>
              </a:graphicData>
            </a:graphic>
          </wp:inline>
        </w:drawing>
      </w:r>
    </w:p>
    <w:bookmarkEnd w:id="96"/>
    <w:bookmarkEnd w:id="97"/>
    <w:bookmarkEnd w:id="98"/>
    <w:p w14:paraId="2D93EEDE">
      <w:pPr>
        <w:pStyle w:val="8"/>
        <w:bidi w:val="0"/>
        <w:rPr>
          <w:rFonts w:hint="eastAsia" w:ascii="Times New Roman" w:hAnsi="Times New Roman" w:cs="Times New Roman"/>
          <w:lang w:val="en-US" w:eastAsia="zh-CN"/>
        </w:rPr>
      </w:pPr>
      <w:bookmarkStart w:id="99" w:name="_Toc7873"/>
      <w:r>
        <w:rPr>
          <w:rFonts w:hint="default" w:ascii="Times New Roman" w:hAnsi="Times New Roman" w:cs="Times New Roman"/>
          <w:lang w:val="en-US" w:eastAsia="zh-CN"/>
        </w:rPr>
        <w:t>附件</w:t>
      </w:r>
      <w:r>
        <w:rPr>
          <w:rFonts w:hint="eastAsia" w:ascii="Times New Roman" w:hAnsi="Times New Roman" w:cs="Times New Roman"/>
          <w:lang w:val="en-US" w:eastAsia="zh-CN"/>
        </w:rPr>
        <w:t>4</w:t>
      </w:r>
      <w:r>
        <w:rPr>
          <w:rFonts w:hint="default" w:ascii="Times New Roman" w:hAnsi="Times New Roman" w:cs="Times New Roman"/>
          <w:lang w:val="en-US" w:eastAsia="zh-CN"/>
        </w:rPr>
        <w:t>：</w:t>
      </w:r>
      <w:bookmarkEnd w:id="99"/>
      <w:r>
        <w:rPr>
          <w:rFonts w:hint="eastAsia" w:ascii="Times New Roman" w:hAnsi="Times New Roman" w:cs="Times New Roman"/>
          <w:lang w:val="en-US" w:eastAsia="zh-CN"/>
        </w:rPr>
        <w:t>危废合同</w:t>
      </w:r>
    </w:p>
    <w:p w14:paraId="387C6DDE">
      <w:pPr>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4911090" cy="7373620"/>
            <wp:effectExtent l="0" t="0" r="3810" b="17780"/>
            <wp:docPr id="2" name="图片 2" descr="8bb1de45bcf7bc768fde3f1cc95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b1de45bcf7bc768fde3f1cc957935"/>
                    <pic:cNvPicPr>
                      <a:picLocks noChangeAspect="1"/>
                    </pic:cNvPicPr>
                  </pic:nvPicPr>
                  <pic:blipFill>
                    <a:blip r:embed="rId39"/>
                    <a:stretch>
                      <a:fillRect/>
                    </a:stretch>
                  </pic:blipFill>
                  <pic:spPr>
                    <a:xfrm>
                      <a:off x="0" y="0"/>
                      <a:ext cx="4911090" cy="7373620"/>
                    </a:xfrm>
                    <a:prstGeom prst="rect">
                      <a:avLst/>
                    </a:prstGeom>
                  </pic:spPr>
                </pic:pic>
              </a:graphicData>
            </a:graphic>
          </wp:inline>
        </w:drawing>
      </w:r>
    </w:p>
    <w:p w14:paraId="537FB3C1">
      <w:pPr>
        <w:pStyle w:val="2"/>
        <w:ind w:left="0" w:leftChars="0" w:firstLine="0" w:firstLineChars="0"/>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632450" cy="8691245"/>
            <wp:effectExtent l="0" t="0" r="6350" b="14605"/>
            <wp:docPr id="3" name="图片 3" descr="70a9b1893c0c8ec023c431abe43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a9b1893c0c8ec023c431abe430541"/>
                    <pic:cNvPicPr>
                      <a:picLocks noChangeAspect="1"/>
                    </pic:cNvPicPr>
                  </pic:nvPicPr>
                  <pic:blipFill>
                    <a:blip r:embed="rId40"/>
                    <a:stretch>
                      <a:fillRect/>
                    </a:stretch>
                  </pic:blipFill>
                  <pic:spPr>
                    <a:xfrm>
                      <a:off x="0" y="0"/>
                      <a:ext cx="5632450" cy="8691245"/>
                    </a:xfrm>
                    <a:prstGeom prst="rect">
                      <a:avLst/>
                    </a:prstGeom>
                  </pic:spPr>
                </pic:pic>
              </a:graphicData>
            </a:graphic>
          </wp:inline>
        </w:drawing>
      </w:r>
    </w:p>
    <w:p w14:paraId="4B8BFADE">
      <w:pPr>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632450" cy="8735060"/>
            <wp:effectExtent l="0" t="0" r="6350" b="8890"/>
            <wp:docPr id="24" name="图片 24" descr="5bd921859e464df44e48adcc886c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bd921859e464df44e48adcc886c9b9"/>
                    <pic:cNvPicPr>
                      <a:picLocks noChangeAspect="1"/>
                    </pic:cNvPicPr>
                  </pic:nvPicPr>
                  <pic:blipFill>
                    <a:blip r:embed="rId41"/>
                    <a:stretch>
                      <a:fillRect/>
                    </a:stretch>
                  </pic:blipFill>
                  <pic:spPr>
                    <a:xfrm>
                      <a:off x="0" y="0"/>
                      <a:ext cx="5632450" cy="8735060"/>
                    </a:xfrm>
                    <a:prstGeom prst="rect">
                      <a:avLst/>
                    </a:prstGeom>
                  </pic:spPr>
                </pic:pic>
              </a:graphicData>
            </a:graphic>
          </wp:inline>
        </w:drawing>
      </w:r>
    </w:p>
    <w:p w14:paraId="4C8710C9">
      <w:pPr>
        <w:pStyle w:val="2"/>
        <w:ind w:left="0" w:leftChars="0" w:firstLine="0" w:firstLineChars="0"/>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632450" cy="8576945"/>
            <wp:effectExtent l="0" t="0" r="6350" b="14605"/>
            <wp:docPr id="26" name="图片 26" descr="f13a81078f74fbd67918229b5c2b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13a81078f74fbd67918229b5c2bb11"/>
                    <pic:cNvPicPr>
                      <a:picLocks noChangeAspect="1"/>
                    </pic:cNvPicPr>
                  </pic:nvPicPr>
                  <pic:blipFill>
                    <a:blip r:embed="rId42"/>
                    <a:stretch>
                      <a:fillRect/>
                    </a:stretch>
                  </pic:blipFill>
                  <pic:spPr>
                    <a:xfrm>
                      <a:off x="0" y="0"/>
                      <a:ext cx="5632450" cy="8576945"/>
                    </a:xfrm>
                    <a:prstGeom prst="rect">
                      <a:avLst/>
                    </a:prstGeom>
                  </pic:spPr>
                </pic:pic>
              </a:graphicData>
            </a:graphic>
          </wp:inline>
        </w:drawing>
      </w:r>
    </w:p>
    <w:p w14:paraId="2D292C69">
      <w:pPr>
        <w:rPr>
          <w:rFonts w:hint="eastAsia"/>
          <w:lang w:val="en-US" w:eastAsia="zh-CN"/>
        </w:rPr>
      </w:pPr>
      <w:r>
        <w:rPr>
          <w:rFonts w:hint="eastAsia"/>
          <w:lang w:val="en-US" w:eastAsia="zh-CN"/>
        </w:rPr>
        <w:drawing>
          <wp:inline distT="0" distB="0" distL="114300" distR="114300">
            <wp:extent cx="5628005" cy="8712835"/>
            <wp:effectExtent l="0" t="0" r="10795" b="12065"/>
            <wp:docPr id="28" name="图片 28" descr="3788ef5c1369abd18e872370cf5d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788ef5c1369abd18e872370cf5dc68"/>
                    <pic:cNvPicPr>
                      <a:picLocks noChangeAspect="1"/>
                    </pic:cNvPicPr>
                  </pic:nvPicPr>
                  <pic:blipFill>
                    <a:blip r:embed="rId43"/>
                    <a:stretch>
                      <a:fillRect/>
                    </a:stretch>
                  </pic:blipFill>
                  <pic:spPr>
                    <a:xfrm>
                      <a:off x="0" y="0"/>
                      <a:ext cx="5628005" cy="8712835"/>
                    </a:xfrm>
                    <a:prstGeom prst="rect">
                      <a:avLst/>
                    </a:prstGeom>
                  </pic:spPr>
                </pic:pic>
              </a:graphicData>
            </a:graphic>
          </wp:inline>
        </w:drawing>
      </w:r>
    </w:p>
    <w:p w14:paraId="6A70813C">
      <w:pPr>
        <w:rPr>
          <w:rFonts w:hint="eastAsia" w:ascii="Times New Roman" w:hAnsi="Times New Roman" w:cs="Times New Roman"/>
          <w:lang w:val="en-US" w:eastAsia="zh-CN"/>
        </w:rPr>
      </w:pPr>
    </w:p>
    <w:p w14:paraId="46944A7B">
      <w:pPr>
        <w:pStyle w:val="2"/>
        <w:ind w:left="0" w:leftChars="0" w:firstLine="0" w:firstLineChars="0"/>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632450" cy="8774430"/>
            <wp:effectExtent l="0" t="0" r="6350" b="7620"/>
            <wp:docPr id="29" name="图片 29" descr="6fb9a31171d5dbbc968d3bc12a4b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fb9a31171d5dbbc968d3bc12a4b39d"/>
                    <pic:cNvPicPr>
                      <a:picLocks noChangeAspect="1"/>
                    </pic:cNvPicPr>
                  </pic:nvPicPr>
                  <pic:blipFill>
                    <a:blip r:embed="rId44"/>
                    <a:stretch>
                      <a:fillRect/>
                    </a:stretch>
                  </pic:blipFill>
                  <pic:spPr>
                    <a:xfrm>
                      <a:off x="0" y="0"/>
                      <a:ext cx="5632450" cy="8774430"/>
                    </a:xfrm>
                    <a:prstGeom prst="rect">
                      <a:avLst/>
                    </a:prstGeom>
                  </pic:spPr>
                </pic:pic>
              </a:graphicData>
            </a:graphic>
          </wp:inline>
        </w:drawing>
      </w:r>
    </w:p>
    <w:p w14:paraId="57917CF4">
      <w:pPr>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632450" cy="8730615"/>
            <wp:effectExtent l="0" t="0" r="6350" b="13335"/>
            <wp:docPr id="30" name="图片 30" descr="72ec5aa505dc5549e9acb1c54524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2ec5aa505dc5549e9acb1c5452439d"/>
                    <pic:cNvPicPr>
                      <a:picLocks noChangeAspect="1"/>
                    </pic:cNvPicPr>
                  </pic:nvPicPr>
                  <pic:blipFill>
                    <a:blip r:embed="rId45"/>
                    <a:stretch>
                      <a:fillRect/>
                    </a:stretch>
                  </pic:blipFill>
                  <pic:spPr>
                    <a:xfrm>
                      <a:off x="0" y="0"/>
                      <a:ext cx="5632450" cy="8730615"/>
                    </a:xfrm>
                    <a:prstGeom prst="rect">
                      <a:avLst/>
                    </a:prstGeom>
                  </pic:spPr>
                </pic:pic>
              </a:graphicData>
            </a:graphic>
          </wp:inline>
        </w:drawing>
      </w:r>
    </w:p>
    <w:p w14:paraId="19350739">
      <w:pPr>
        <w:pStyle w:val="8"/>
        <w:bidi w:val="0"/>
        <w:rPr>
          <w:rFonts w:hint="eastAsia" w:ascii="Times New Roman" w:hAnsi="Times New Roman" w:cs="Times New Roman"/>
          <w:lang w:val="en-US" w:eastAsia="zh-CN"/>
        </w:rPr>
      </w:pPr>
      <w:r>
        <w:rPr>
          <w:rFonts w:hint="default" w:ascii="Times New Roman" w:hAnsi="Times New Roman" w:cs="Times New Roman"/>
          <w:lang w:val="en-US" w:eastAsia="zh-CN"/>
        </w:rPr>
        <w:t>附件</w:t>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检测报告</w:t>
      </w:r>
    </w:p>
    <w:p w14:paraId="6EF3FC7D">
      <w:pPr>
        <w:rPr>
          <w:rFonts w:hint="eastAsia"/>
          <w:lang w:val="en-US" w:eastAsia="zh-CN"/>
        </w:rPr>
      </w:pPr>
      <w:r>
        <w:drawing>
          <wp:inline distT="0" distB="0" distL="114300" distR="114300">
            <wp:extent cx="5314950" cy="7458075"/>
            <wp:effectExtent l="0" t="0" r="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6"/>
                    <a:stretch>
                      <a:fillRect/>
                    </a:stretch>
                  </pic:blipFill>
                  <pic:spPr>
                    <a:xfrm>
                      <a:off x="0" y="0"/>
                      <a:ext cx="5314950" cy="7458075"/>
                    </a:xfrm>
                    <a:prstGeom prst="rect">
                      <a:avLst/>
                    </a:prstGeom>
                    <a:noFill/>
                    <a:ln>
                      <a:noFill/>
                    </a:ln>
                  </pic:spPr>
                </pic:pic>
              </a:graphicData>
            </a:graphic>
          </wp:inline>
        </w:drawing>
      </w:r>
    </w:p>
    <w:p w14:paraId="0B4E437F">
      <w:pPr>
        <w:rPr>
          <w:rFonts w:hint="default"/>
          <w:lang w:val="en-US" w:eastAsia="zh-CN"/>
        </w:rPr>
      </w:pPr>
    </w:p>
    <w:p w14:paraId="184F3C15">
      <w:pPr>
        <w:pStyle w:val="2"/>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343DE006">
      <w:pPr>
        <w:rPr>
          <w:rFonts w:hint="default"/>
          <w:lang w:val="en-US" w:eastAsia="zh-CN"/>
        </w:rPr>
      </w:pPr>
      <w:r>
        <w:drawing>
          <wp:inline distT="0" distB="0" distL="114300" distR="114300">
            <wp:extent cx="5652135" cy="8025130"/>
            <wp:effectExtent l="0" t="0" r="5715"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7"/>
                    <a:stretch>
                      <a:fillRect/>
                    </a:stretch>
                  </pic:blipFill>
                  <pic:spPr>
                    <a:xfrm>
                      <a:off x="0" y="0"/>
                      <a:ext cx="5652135" cy="8025130"/>
                    </a:xfrm>
                    <a:prstGeom prst="rect">
                      <a:avLst/>
                    </a:prstGeom>
                    <a:noFill/>
                    <a:ln>
                      <a:noFill/>
                    </a:ln>
                  </pic:spPr>
                </pic:pic>
              </a:graphicData>
            </a:graphic>
          </wp:inline>
        </w:drawing>
      </w:r>
    </w:p>
    <w:p w14:paraId="5CA9F21F">
      <w:pPr>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1FB7DCCE">
      <w:pPr>
        <w:pStyle w:val="2"/>
        <w:ind w:left="0" w:leftChars="0" w:firstLine="0" w:firstLineChars="0"/>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75605" cy="8174990"/>
            <wp:effectExtent l="0" t="0" r="10795"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48"/>
                    <a:stretch>
                      <a:fillRect/>
                    </a:stretch>
                  </pic:blipFill>
                  <pic:spPr>
                    <a:xfrm>
                      <a:off x="0" y="0"/>
                      <a:ext cx="5475605" cy="8174990"/>
                    </a:xfrm>
                    <a:prstGeom prst="rect">
                      <a:avLst/>
                    </a:prstGeom>
                    <a:noFill/>
                    <a:ln>
                      <a:noFill/>
                    </a:ln>
                  </pic:spPr>
                </pic:pic>
              </a:graphicData>
            </a:graphic>
          </wp:inline>
        </w:drawing>
      </w:r>
    </w:p>
    <w:p w14:paraId="06C0BF69">
      <w:pPr>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24170" cy="8284845"/>
            <wp:effectExtent l="0" t="0" r="5080" b="190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9"/>
                    <a:stretch>
                      <a:fillRect/>
                    </a:stretch>
                  </pic:blipFill>
                  <pic:spPr>
                    <a:xfrm>
                      <a:off x="0" y="0"/>
                      <a:ext cx="5424170" cy="8284845"/>
                    </a:xfrm>
                    <a:prstGeom prst="rect">
                      <a:avLst/>
                    </a:prstGeom>
                    <a:noFill/>
                    <a:ln>
                      <a:noFill/>
                    </a:ln>
                  </pic:spPr>
                </pic:pic>
              </a:graphicData>
            </a:graphic>
          </wp:inline>
        </w:drawing>
      </w:r>
    </w:p>
    <w:p w14:paraId="23ED8E90">
      <w:pPr>
        <w:pStyle w:val="44"/>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647055" cy="8559800"/>
            <wp:effectExtent l="0" t="0" r="10795" b="1270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50"/>
                    <a:stretch>
                      <a:fillRect/>
                    </a:stretch>
                  </pic:blipFill>
                  <pic:spPr>
                    <a:xfrm>
                      <a:off x="0" y="0"/>
                      <a:ext cx="5647055" cy="8559800"/>
                    </a:xfrm>
                    <a:prstGeom prst="rect">
                      <a:avLst/>
                    </a:prstGeom>
                    <a:noFill/>
                    <a:ln>
                      <a:noFill/>
                    </a:ln>
                  </pic:spPr>
                </pic:pic>
              </a:graphicData>
            </a:graphic>
          </wp:inline>
        </w:drawing>
      </w:r>
    </w:p>
    <w:p w14:paraId="571A447D">
      <w:pPr>
        <w:pStyle w:val="44"/>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53075" cy="8550910"/>
            <wp:effectExtent l="0" t="0" r="9525" b="254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1"/>
                    <a:stretch>
                      <a:fillRect/>
                    </a:stretch>
                  </pic:blipFill>
                  <pic:spPr>
                    <a:xfrm>
                      <a:off x="0" y="0"/>
                      <a:ext cx="5553075" cy="8550910"/>
                    </a:xfrm>
                    <a:prstGeom prst="rect">
                      <a:avLst/>
                    </a:prstGeom>
                    <a:noFill/>
                    <a:ln>
                      <a:noFill/>
                    </a:ln>
                  </pic:spPr>
                </pic:pic>
              </a:graphicData>
            </a:graphic>
          </wp:inline>
        </w:drawing>
      </w:r>
    </w:p>
    <w:p w14:paraId="71467A5C">
      <w:pPr>
        <w:pStyle w:val="44"/>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96890" cy="8345170"/>
            <wp:effectExtent l="0" t="0" r="38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2"/>
                    <a:stretch>
                      <a:fillRect/>
                    </a:stretch>
                  </pic:blipFill>
                  <pic:spPr>
                    <a:xfrm>
                      <a:off x="0" y="0"/>
                      <a:ext cx="5596890" cy="8345170"/>
                    </a:xfrm>
                    <a:prstGeom prst="rect">
                      <a:avLst/>
                    </a:prstGeom>
                    <a:noFill/>
                    <a:ln>
                      <a:noFill/>
                    </a:ln>
                  </pic:spPr>
                </pic:pic>
              </a:graphicData>
            </a:graphic>
          </wp:inline>
        </w:drawing>
      </w:r>
    </w:p>
    <w:p w14:paraId="682F00A2">
      <w:pPr>
        <w:pStyle w:val="44"/>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98160" cy="8047990"/>
            <wp:effectExtent l="0" t="0" r="2540" b="1016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3"/>
                    <a:stretch>
                      <a:fillRect/>
                    </a:stretch>
                  </pic:blipFill>
                  <pic:spPr>
                    <a:xfrm>
                      <a:off x="0" y="0"/>
                      <a:ext cx="5598160" cy="8047990"/>
                    </a:xfrm>
                    <a:prstGeom prst="rect">
                      <a:avLst/>
                    </a:prstGeom>
                    <a:noFill/>
                    <a:ln>
                      <a:noFill/>
                    </a:ln>
                  </pic:spPr>
                </pic:pic>
              </a:graphicData>
            </a:graphic>
          </wp:inline>
        </w:drawing>
      </w:r>
    </w:p>
    <w:p w14:paraId="3137B50D">
      <w:pPr>
        <w:pStyle w:val="44"/>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12435" cy="7908925"/>
            <wp:effectExtent l="0" t="0" r="12065"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54"/>
                    <a:stretch>
                      <a:fillRect/>
                    </a:stretch>
                  </pic:blipFill>
                  <pic:spPr>
                    <a:xfrm>
                      <a:off x="0" y="0"/>
                      <a:ext cx="5512435" cy="7908925"/>
                    </a:xfrm>
                    <a:prstGeom prst="rect">
                      <a:avLst/>
                    </a:prstGeom>
                    <a:noFill/>
                    <a:ln>
                      <a:noFill/>
                    </a:ln>
                  </pic:spPr>
                </pic:pic>
              </a:graphicData>
            </a:graphic>
          </wp:inline>
        </w:drawing>
      </w:r>
    </w:p>
    <w:p w14:paraId="7A2A3F1B">
      <w:pPr>
        <w:pStyle w:val="44"/>
        <w:ind w:left="0" w:leftChars="0" w:firstLine="0" w:firstLineChars="0"/>
        <w:jc w:val="both"/>
      </w:pPr>
      <w:r>
        <w:drawing>
          <wp:inline distT="0" distB="0" distL="114300" distR="114300">
            <wp:extent cx="5624830" cy="8284210"/>
            <wp:effectExtent l="0" t="0" r="13970" b="25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55"/>
                    <a:stretch>
                      <a:fillRect/>
                    </a:stretch>
                  </pic:blipFill>
                  <pic:spPr>
                    <a:xfrm>
                      <a:off x="0" y="0"/>
                      <a:ext cx="5624830" cy="8284210"/>
                    </a:xfrm>
                    <a:prstGeom prst="rect">
                      <a:avLst/>
                    </a:prstGeom>
                    <a:noFill/>
                    <a:ln>
                      <a:noFill/>
                    </a:ln>
                  </pic:spPr>
                </pic:pic>
              </a:graphicData>
            </a:graphic>
          </wp:inline>
        </w:drawing>
      </w:r>
    </w:p>
    <w:p w14:paraId="0BC8F261">
      <w:pPr>
        <w:pStyle w:val="44"/>
        <w:ind w:left="0" w:leftChars="0" w:firstLine="0" w:firstLineChars="0"/>
        <w:jc w:val="both"/>
      </w:pPr>
    </w:p>
    <w:p w14:paraId="27A61A40">
      <w:pPr>
        <w:pStyle w:val="44"/>
        <w:ind w:left="0" w:leftChars="0" w:firstLine="0" w:firstLineChars="0"/>
        <w:jc w:val="both"/>
        <w:rPr>
          <w:rFonts w:hint="default"/>
          <w:lang w:val="en-US" w:eastAsia="zh-CN"/>
        </w:rPr>
      </w:pPr>
    </w:p>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Times New Roman"/>
    <w:panose1 w:val="02020603040505020304"/>
    <w:charset w:val="00"/>
    <w:family w:val="roman"/>
    <w:pitch w:val="default"/>
    <w:sig w:usb0="00000000" w:usb1="00000000" w:usb2="00000000" w:usb3="00000000" w:csb0="00000001" w:csb1="00000000"/>
  </w:font>
  <w:font w:name="方正书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86"/>
    <w:family w:val="swiss"/>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C5314">
    <w:pPr>
      <w:pStyle w:val="2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282A8">
    <w:pPr>
      <w:pStyle w:val="21"/>
      <w:framePr w:wrap="around" w:vAnchor="text" w:hAnchor="margin" w:xAlign="center" w:y="1"/>
      <w:rPr>
        <w:rStyle w:val="37"/>
      </w:rPr>
    </w:pPr>
    <w:r>
      <w:fldChar w:fldCharType="begin"/>
    </w:r>
    <w:r>
      <w:rPr>
        <w:rStyle w:val="37"/>
      </w:rPr>
      <w:instrText xml:space="preserve">PAGE  </w:instrText>
    </w:r>
    <w:r>
      <w:fldChar w:fldCharType="end"/>
    </w:r>
  </w:p>
  <w:p w14:paraId="0E5FB796">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AE10">
    <w:pPr>
      <w:pStyle w:val="2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7DBD5">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5CA7DBD5">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2567940</wp:posOffset>
              </wp:positionH>
              <wp:positionV relativeFrom="paragraph">
                <wp:posOffset>0</wp:posOffset>
              </wp:positionV>
              <wp:extent cx="54991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4991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DD7D8"/>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2pt;margin-top:0pt;height:144pt;width:43.3pt;mso-position-horizontal-relative:margin;z-index:251661312;mso-width-relative:page;mso-height-relative:page;" filled="f" stroked="f" coordsize="21600,21600" o:gfxdata="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v4t4tYAAAAIAQAADwAAAAAAAAABACAAAAAiAAAAZHJzL2Rvd25y&#10;ZXYueG1sUEsBAhQAFAAAAAgAh07iQOjbKvc5AgAAZAQAAA4AAAAAAAAAAQAgAAAAJQEAAGRycy9l&#10;Mm9Eb2MueG1sUEsFBgAAAAAGAAYAWQEAANAFAAAAAA==&#10;">
              <v:fill on="f" focussize="0,0"/>
              <v:stroke on="f" weight="0.5pt"/>
              <v:imagedata o:title=""/>
              <o:lock v:ext="edit" aspectratio="f"/>
              <v:textbox inset="0mm,0mm,0mm,0mm" style="mso-fit-shape-to-text:t;">
                <w:txbxContent>
                  <w:p w14:paraId="618DD7D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40043">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BAB08A">
                          <w:pPr>
                            <w:pStyle w:val="21"/>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KHMcwBAACeAwAADgAAAGRycy9lMm9Eb2MueG1srVPNjtMwEL4j8Q6W&#10;79RJk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uAlVSYnlBkd++f7t8uPX5edX&#10;Uhavq9SjwUONqQ8ek+N450bMX/yAziR97IJJXxRFMI4dPl87LMdIRHq0rtbrAkMCY8sF8dnjcx8g&#10;vpXOkGQ0NOAIc2f56T3EKXVJSdWsu1da5zFq+5cDMZOHJe4Tx2TFcT/OgvauPaOeAaffUIvLTol+&#10;Z7G5aVEWIyzGfjGOPqhDj9TKzAv87TEiicwtVZhg58I4tqxuXrG0F3/ec9bj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kocxzAEAAJ4DAAAOAAAAAAAAAAEAIAAAAB4BAABkcnMvZTJv&#10;RG9jLnhtbFBLBQYAAAAABgAGAFkBAABcBQAAAAA=&#10;">
              <v:fill on="f" focussize="0,0"/>
              <v:stroke on="f"/>
              <v:imagedata o:title=""/>
              <o:lock v:ext="edit" aspectratio="f"/>
              <v:textbox inset="0mm,0mm,0mm,0mm" style="mso-fit-shape-to-text:t;">
                <w:txbxContent>
                  <w:p w14:paraId="55BAB08A">
                    <w:pPr>
                      <w:pStyle w:val="21"/>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D8A1E">
    <w:pPr>
      <w:pStyle w:val="21"/>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15A09">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6A115A09">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58937">
    <w:pPr>
      <w:pStyle w:val="21"/>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C8B4A">
                          <w:pPr>
                            <w:pStyle w:val="21"/>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iUG3DzAEAAJ4DAAAOAAAAAAAAAAEAIAAAAB4BAABkcnMvZTJv&#10;RG9jLnhtbFBLBQYAAAAABgAGAFkBAABcBQAAAAA=&#10;">
              <v:fill on="f" focussize="0,0"/>
              <v:stroke on="f"/>
              <v:imagedata o:title=""/>
              <o:lock v:ext="edit" aspectratio="f"/>
              <v:textbox inset="0mm,0mm,0mm,0mm" style="mso-fit-shape-to-text:t;">
                <w:txbxContent>
                  <w:p w14:paraId="20BC8B4A">
                    <w:pPr>
                      <w:pStyle w:val="21"/>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A9B92">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98E2A">
                          <w:pPr>
                            <w:pStyle w:val="21"/>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DA98E2A">
                    <w:pPr>
                      <w:pStyle w:val="21"/>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1384">
    <w:pPr>
      <w:pStyle w:val="2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B69D8">
                          <w:pPr>
                            <w:pStyle w:val="21"/>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130B69D8">
                    <w:pPr>
                      <w:pStyle w:val="21"/>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A79C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320A">
    <w:pPr>
      <w:pStyle w:val="22"/>
      <w:rPr>
        <w:rFonts w:hint="eastAsia" w:ascii="宋体" w:hAnsi="宋体" w:eastAsia="宋体" w:cs="宋体"/>
        <w:sz w:val="18"/>
        <w:szCs w:val="18"/>
      </w:rPr>
    </w:pPr>
    <w:r>
      <w:rPr>
        <w:rFonts w:hint="eastAsia" w:ascii="宋体" w:hAnsi="宋体" w:eastAsia="宋体" w:cs="宋体"/>
        <w:sz w:val="18"/>
        <w:szCs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80380">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6380380">
                    <w:pPr>
                      <w:pStyle w:val="22"/>
                    </w:pPr>
                  </w:p>
                </w:txbxContent>
              </v:textbox>
            </v:shape>
          </w:pict>
        </mc:Fallback>
      </mc:AlternateContent>
    </w:r>
    <w:r>
      <w:rPr>
        <w:rFonts w:hint="eastAsia" w:ascii="宋体" w:hAnsi="宋体" w:eastAsia="宋体" w:cs="宋体"/>
        <w:sz w:val="18"/>
        <w:szCs w:val="18"/>
        <w:lang w:val="en-US" w:eastAsia="zh-CN"/>
      </w:rPr>
      <w:t>山东瑞盟生物科技有限公司年产20000吨食品添加剂项目（一期）环境保护</w:t>
    </w:r>
    <w:r>
      <w:rPr>
        <w:rFonts w:hint="eastAsia" w:ascii="宋体" w:hAnsi="宋体" w:eastAsia="宋体" w:cs="宋体"/>
        <w:sz w:val="18"/>
        <w:szCs w:val="18"/>
      </w:rPr>
      <w:t>竣工验收报告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C3B8C">
    <w:pPr>
      <w:pStyle w:val="22"/>
    </w:pPr>
    <w:r>
      <w:rPr>
        <w:rFonts w:hint="eastAsia"/>
      </w:rPr>
      <w:t>曹县庄寨镇张合献木制品厂年产10万张拼板芯板项目环境保护</w:t>
    </w:r>
    <w:r>
      <w:t>竣工验收报告表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1713F">
    <w:pPr>
      <w:pStyle w:val="22"/>
      <w:rPr>
        <w:rFonts w:ascii="Times New Roman" w:hAnsi="Times New Roman" w:cs="Times New Roman"/>
      </w:rPr>
    </w:pPr>
    <w:r>
      <w:rPr>
        <w:rFonts w:hint="eastAsia" w:ascii="宋体" w:hAnsi="宋体" w:eastAsia="宋体" w:cs="宋体"/>
        <w:sz w:val="18"/>
        <w:szCs w:val="18"/>
      </w:rPr>
      <w:t>山东瑞盟生物科技有限公司年产20000吨食品添加剂项目</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一期</w:t>
    </w:r>
    <w:r>
      <w:rPr>
        <w:rFonts w:hint="eastAsia" w:ascii="宋体" w:hAnsi="宋体" w:eastAsia="宋体" w:cs="宋体"/>
        <w:sz w:val="18"/>
        <w:szCs w:val="18"/>
        <w:lang w:eastAsia="zh-CN"/>
      </w:rPr>
      <w:t>）</w:t>
    </w:r>
    <w:r>
      <w:rPr>
        <w:rFonts w:hint="eastAsia" w:ascii="宋体" w:hAnsi="宋体" w:eastAsia="宋体" w:cs="宋体"/>
        <w:sz w:val="18"/>
        <w:szCs w:val="18"/>
      </w:rPr>
      <w:t>环</w:t>
    </w:r>
    <w:r>
      <w:rPr>
        <w:rFonts w:ascii="Times New Roman" w:hAnsi="Times New Roman" w:cs="Times New Roman"/>
      </w:rPr>
      <w:t>境保护竣工验收报告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5538A">
    <w:pPr>
      <w:pStyle w:val="22"/>
    </w:pPr>
    <w:r>
      <w:rPr>
        <w:rFonts w:hint="eastAsia"/>
      </w:rPr>
      <w:t>曹县庄寨镇张合献木制品厂年产10万张拼板芯板项目环境保护</w:t>
    </w:r>
    <w:r>
      <w:t>竣工验收报告表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767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7E1C1"/>
    <w:multiLevelType w:val="singleLevel"/>
    <w:tmpl w:val="8847E1C1"/>
    <w:lvl w:ilvl="0" w:tentative="0">
      <w:start w:val="1"/>
      <w:numFmt w:val="decimal"/>
      <w:suff w:val="nothing"/>
      <w:lvlText w:val="（%1）"/>
      <w:lvlJc w:val="left"/>
    </w:lvl>
  </w:abstractNum>
  <w:abstractNum w:abstractNumId="1">
    <w:nsid w:val="C3936D0E"/>
    <w:multiLevelType w:val="singleLevel"/>
    <w:tmpl w:val="C3936D0E"/>
    <w:lvl w:ilvl="0" w:tentative="0">
      <w:start w:val="1"/>
      <w:numFmt w:val="decimal"/>
      <w:suff w:val="nothing"/>
      <w:lvlText w:val="%1、"/>
      <w:lvlJc w:val="left"/>
    </w:lvl>
  </w:abstractNum>
  <w:abstractNum w:abstractNumId="2">
    <w:nsid w:val="E896B23A"/>
    <w:multiLevelType w:val="singleLevel"/>
    <w:tmpl w:val="E896B23A"/>
    <w:lvl w:ilvl="0" w:tentative="0">
      <w:start w:val="1"/>
      <w:numFmt w:val="decimal"/>
      <w:suff w:val="nothing"/>
      <w:lvlText w:val="%1、"/>
      <w:lvlJc w:val="left"/>
    </w:lvl>
  </w:abstractNum>
  <w:abstractNum w:abstractNumId="3">
    <w:nsid w:val="F78E0B31"/>
    <w:multiLevelType w:val="singleLevel"/>
    <w:tmpl w:val="F78E0B31"/>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4">
    <w:nsid w:val="7AF4F4D9"/>
    <w:multiLevelType w:val="singleLevel"/>
    <w:tmpl w:val="7AF4F4D9"/>
    <w:lvl w:ilvl="0" w:tentative="0">
      <w:start w:val="1"/>
      <w:numFmt w:val="decimal"/>
      <w:suff w:val="nothing"/>
      <w:lvlText w:val="（%1）"/>
      <w:lvlJc w:val="left"/>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zNDYyNDA0MzhhZjdhMjI4MjkwMmUwYjY1MmU5ZTc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2C76"/>
    <w:rsid w:val="00014BE5"/>
    <w:rsid w:val="00015422"/>
    <w:rsid w:val="000163ED"/>
    <w:rsid w:val="00021191"/>
    <w:rsid w:val="00021772"/>
    <w:rsid w:val="000237C4"/>
    <w:rsid w:val="00023C49"/>
    <w:rsid w:val="00025EF4"/>
    <w:rsid w:val="000276AE"/>
    <w:rsid w:val="00027C91"/>
    <w:rsid w:val="000309BF"/>
    <w:rsid w:val="00031523"/>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B06"/>
    <w:rsid w:val="00060D86"/>
    <w:rsid w:val="00061639"/>
    <w:rsid w:val="00062E3A"/>
    <w:rsid w:val="0006389C"/>
    <w:rsid w:val="00065575"/>
    <w:rsid w:val="000660EF"/>
    <w:rsid w:val="00067054"/>
    <w:rsid w:val="00067DB4"/>
    <w:rsid w:val="0007166B"/>
    <w:rsid w:val="000716C8"/>
    <w:rsid w:val="00073600"/>
    <w:rsid w:val="00074573"/>
    <w:rsid w:val="00076B45"/>
    <w:rsid w:val="00080FF4"/>
    <w:rsid w:val="000837DB"/>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581"/>
    <w:rsid w:val="000D18AE"/>
    <w:rsid w:val="000D24F2"/>
    <w:rsid w:val="000D6C27"/>
    <w:rsid w:val="000D7D61"/>
    <w:rsid w:val="000E03F6"/>
    <w:rsid w:val="000E2582"/>
    <w:rsid w:val="000E27CC"/>
    <w:rsid w:val="000E3E89"/>
    <w:rsid w:val="000E4ACA"/>
    <w:rsid w:val="000E610C"/>
    <w:rsid w:val="000F419E"/>
    <w:rsid w:val="000F54C0"/>
    <w:rsid w:val="000F5A20"/>
    <w:rsid w:val="000F5E1A"/>
    <w:rsid w:val="000F65B6"/>
    <w:rsid w:val="00100891"/>
    <w:rsid w:val="0010146B"/>
    <w:rsid w:val="00102691"/>
    <w:rsid w:val="001039D2"/>
    <w:rsid w:val="00104122"/>
    <w:rsid w:val="00106704"/>
    <w:rsid w:val="00106A7F"/>
    <w:rsid w:val="001070BF"/>
    <w:rsid w:val="00110390"/>
    <w:rsid w:val="001105D9"/>
    <w:rsid w:val="00113BDF"/>
    <w:rsid w:val="001159E5"/>
    <w:rsid w:val="001207E8"/>
    <w:rsid w:val="00122CB9"/>
    <w:rsid w:val="00122E81"/>
    <w:rsid w:val="0012353D"/>
    <w:rsid w:val="00124A57"/>
    <w:rsid w:val="00125213"/>
    <w:rsid w:val="0012583D"/>
    <w:rsid w:val="00132384"/>
    <w:rsid w:val="00135368"/>
    <w:rsid w:val="00137119"/>
    <w:rsid w:val="00137FF9"/>
    <w:rsid w:val="00141802"/>
    <w:rsid w:val="00142104"/>
    <w:rsid w:val="0014257B"/>
    <w:rsid w:val="00144DA4"/>
    <w:rsid w:val="00144F3D"/>
    <w:rsid w:val="0014794D"/>
    <w:rsid w:val="0015066F"/>
    <w:rsid w:val="00151300"/>
    <w:rsid w:val="001514F8"/>
    <w:rsid w:val="001533AA"/>
    <w:rsid w:val="0015381D"/>
    <w:rsid w:val="0015428E"/>
    <w:rsid w:val="00156D10"/>
    <w:rsid w:val="00157179"/>
    <w:rsid w:val="00160ECF"/>
    <w:rsid w:val="0016136C"/>
    <w:rsid w:val="00161E87"/>
    <w:rsid w:val="00163CC0"/>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3E11"/>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A7F6D"/>
    <w:rsid w:val="001B0F75"/>
    <w:rsid w:val="001B1F02"/>
    <w:rsid w:val="001B31C9"/>
    <w:rsid w:val="001B3ED3"/>
    <w:rsid w:val="001B6277"/>
    <w:rsid w:val="001B7024"/>
    <w:rsid w:val="001C083C"/>
    <w:rsid w:val="001C0AF2"/>
    <w:rsid w:val="001C1985"/>
    <w:rsid w:val="001C1BD3"/>
    <w:rsid w:val="001C2AF9"/>
    <w:rsid w:val="001C4E78"/>
    <w:rsid w:val="001C6313"/>
    <w:rsid w:val="001C6F6D"/>
    <w:rsid w:val="001D1411"/>
    <w:rsid w:val="001D41D6"/>
    <w:rsid w:val="001D5786"/>
    <w:rsid w:val="001D622A"/>
    <w:rsid w:val="001D71E1"/>
    <w:rsid w:val="001E174F"/>
    <w:rsid w:val="001E1A09"/>
    <w:rsid w:val="001E3751"/>
    <w:rsid w:val="001E42FD"/>
    <w:rsid w:val="001E4333"/>
    <w:rsid w:val="001E4483"/>
    <w:rsid w:val="001E5217"/>
    <w:rsid w:val="001E663A"/>
    <w:rsid w:val="001E6C78"/>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0216"/>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439D"/>
    <w:rsid w:val="00224875"/>
    <w:rsid w:val="002254BC"/>
    <w:rsid w:val="002260A5"/>
    <w:rsid w:val="00227D57"/>
    <w:rsid w:val="00227FDE"/>
    <w:rsid w:val="00230295"/>
    <w:rsid w:val="002312D2"/>
    <w:rsid w:val="00232275"/>
    <w:rsid w:val="00232986"/>
    <w:rsid w:val="00232EAF"/>
    <w:rsid w:val="00233634"/>
    <w:rsid w:val="00233A76"/>
    <w:rsid w:val="00233E1C"/>
    <w:rsid w:val="00234979"/>
    <w:rsid w:val="0023529B"/>
    <w:rsid w:val="00235E04"/>
    <w:rsid w:val="0023712B"/>
    <w:rsid w:val="002374A4"/>
    <w:rsid w:val="00243C9D"/>
    <w:rsid w:val="00246105"/>
    <w:rsid w:val="002513B2"/>
    <w:rsid w:val="00252257"/>
    <w:rsid w:val="00253A2A"/>
    <w:rsid w:val="002557B5"/>
    <w:rsid w:val="00257F0B"/>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871D3"/>
    <w:rsid w:val="002873F6"/>
    <w:rsid w:val="002931A6"/>
    <w:rsid w:val="0029391C"/>
    <w:rsid w:val="00294BE9"/>
    <w:rsid w:val="002957A5"/>
    <w:rsid w:val="00297693"/>
    <w:rsid w:val="00297CDD"/>
    <w:rsid w:val="00297D59"/>
    <w:rsid w:val="002A143C"/>
    <w:rsid w:val="002A2D84"/>
    <w:rsid w:val="002A3640"/>
    <w:rsid w:val="002A6683"/>
    <w:rsid w:val="002B039D"/>
    <w:rsid w:val="002B0578"/>
    <w:rsid w:val="002B16AC"/>
    <w:rsid w:val="002B47E8"/>
    <w:rsid w:val="002B49C0"/>
    <w:rsid w:val="002B4C6E"/>
    <w:rsid w:val="002B5C64"/>
    <w:rsid w:val="002B6299"/>
    <w:rsid w:val="002B636E"/>
    <w:rsid w:val="002B667C"/>
    <w:rsid w:val="002B740C"/>
    <w:rsid w:val="002B7FC5"/>
    <w:rsid w:val="002C04DC"/>
    <w:rsid w:val="002C507D"/>
    <w:rsid w:val="002C5123"/>
    <w:rsid w:val="002C7344"/>
    <w:rsid w:val="002D10B8"/>
    <w:rsid w:val="002D2F8D"/>
    <w:rsid w:val="002D354D"/>
    <w:rsid w:val="002D58A3"/>
    <w:rsid w:val="002D6A12"/>
    <w:rsid w:val="002E004A"/>
    <w:rsid w:val="002E0C82"/>
    <w:rsid w:val="002E2C05"/>
    <w:rsid w:val="002E3125"/>
    <w:rsid w:val="002E40D5"/>
    <w:rsid w:val="002E7528"/>
    <w:rsid w:val="002E79D1"/>
    <w:rsid w:val="002F06A1"/>
    <w:rsid w:val="002F11A5"/>
    <w:rsid w:val="002F1D2B"/>
    <w:rsid w:val="002F1F08"/>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5ABF"/>
    <w:rsid w:val="00380694"/>
    <w:rsid w:val="0038404E"/>
    <w:rsid w:val="0038421D"/>
    <w:rsid w:val="00385570"/>
    <w:rsid w:val="00385D64"/>
    <w:rsid w:val="00385F1E"/>
    <w:rsid w:val="00386D13"/>
    <w:rsid w:val="00386DD1"/>
    <w:rsid w:val="00390E21"/>
    <w:rsid w:val="00391333"/>
    <w:rsid w:val="003921B3"/>
    <w:rsid w:val="00393FB0"/>
    <w:rsid w:val="00397EF0"/>
    <w:rsid w:val="003A0733"/>
    <w:rsid w:val="003A0933"/>
    <w:rsid w:val="003A226F"/>
    <w:rsid w:val="003A27D6"/>
    <w:rsid w:val="003A28B5"/>
    <w:rsid w:val="003A3410"/>
    <w:rsid w:val="003A3F90"/>
    <w:rsid w:val="003A42C5"/>
    <w:rsid w:val="003A55E5"/>
    <w:rsid w:val="003A60EF"/>
    <w:rsid w:val="003A756A"/>
    <w:rsid w:val="003A7575"/>
    <w:rsid w:val="003B1475"/>
    <w:rsid w:val="003B1685"/>
    <w:rsid w:val="003B4DBE"/>
    <w:rsid w:val="003B6819"/>
    <w:rsid w:val="003C06B4"/>
    <w:rsid w:val="003C2F58"/>
    <w:rsid w:val="003C4420"/>
    <w:rsid w:val="003C498E"/>
    <w:rsid w:val="003C66BA"/>
    <w:rsid w:val="003C6820"/>
    <w:rsid w:val="003C7454"/>
    <w:rsid w:val="003D0C67"/>
    <w:rsid w:val="003D2A50"/>
    <w:rsid w:val="003D4C49"/>
    <w:rsid w:val="003D5E20"/>
    <w:rsid w:val="003D64F0"/>
    <w:rsid w:val="003E142C"/>
    <w:rsid w:val="003E373C"/>
    <w:rsid w:val="003E3CBE"/>
    <w:rsid w:val="003E4F3F"/>
    <w:rsid w:val="003E513F"/>
    <w:rsid w:val="003E5A8F"/>
    <w:rsid w:val="003E79CA"/>
    <w:rsid w:val="003F1268"/>
    <w:rsid w:val="003F34E3"/>
    <w:rsid w:val="003F3805"/>
    <w:rsid w:val="003F5C58"/>
    <w:rsid w:val="003F694A"/>
    <w:rsid w:val="003F6BB6"/>
    <w:rsid w:val="004014D8"/>
    <w:rsid w:val="00401C04"/>
    <w:rsid w:val="00401FF5"/>
    <w:rsid w:val="004029D4"/>
    <w:rsid w:val="0040301D"/>
    <w:rsid w:val="00404326"/>
    <w:rsid w:val="0040629E"/>
    <w:rsid w:val="004110DA"/>
    <w:rsid w:val="00411254"/>
    <w:rsid w:val="00411A12"/>
    <w:rsid w:val="00411BB0"/>
    <w:rsid w:val="00413CBC"/>
    <w:rsid w:val="004148F4"/>
    <w:rsid w:val="00416673"/>
    <w:rsid w:val="00416F8F"/>
    <w:rsid w:val="00417070"/>
    <w:rsid w:val="00417449"/>
    <w:rsid w:val="00421FDA"/>
    <w:rsid w:val="00422782"/>
    <w:rsid w:val="00426CC8"/>
    <w:rsid w:val="004337E7"/>
    <w:rsid w:val="00434CAE"/>
    <w:rsid w:val="00441CED"/>
    <w:rsid w:val="004421BF"/>
    <w:rsid w:val="00444EF5"/>
    <w:rsid w:val="00444F3E"/>
    <w:rsid w:val="00446C20"/>
    <w:rsid w:val="00446FA1"/>
    <w:rsid w:val="004474AA"/>
    <w:rsid w:val="004479C7"/>
    <w:rsid w:val="00451178"/>
    <w:rsid w:val="00452F1E"/>
    <w:rsid w:val="00454348"/>
    <w:rsid w:val="004552C8"/>
    <w:rsid w:val="0045557E"/>
    <w:rsid w:val="0045725C"/>
    <w:rsid w:val="0045772A"/>
    <w:rsid w:val="004579D2"/>
    <w:rsid w:val="00461547"/>
    <w:rsid w:val="00461817"/>
    <w:rsid w:val="00462712"/>
    <w:rsid w:val="004628F1"/>
    <w:rsid w:val="00465374"/>
    <w:rsid w:val="00465B0B"/>
    <w:rsid w:val="004702D8"/>
    <w:rsid w:val="00471BAE"/>
    <w:rsid w:val="00474E67"/>
    <w:rsid w:val="004768AE"/>
    <w:rsid w:val="00481935"/>
    <w:rsid w:val="00481D39"/>
    <w:rsid w:val="00482A6C"/>
    <w:rsid w:val="00483769"/>
    <w:rsid w:val="0048447F"/>
    <w:rsid w:val="00484813"/>
    <w:rsid w:val="00486101"/>
    <w:rsid w:val="0048678A"/>
    <w:rsid w:val="00486E77"/>
    <w:rsid w:val="0049166B"/>
    <w:rsid w:val="0049188B"/>
    <w:rsid w:val="004918BA"/>
    <w:rsid w:val="004923BF"/>
    <w:rsid w:val="00492D35"/>
    <w:rsid w:val="004946D6"/>
    <w:rsid w:val="004949D8"/>
    <w:rsid w:val="00494B1E"/>
    <w:rsid w:val="00495562"/>
    <w:rsid w:val="00496743"/>
    <w:rsid w:val="004A033E"/>
    <w:rsid w:val="004A09AC"/>
    <w:rsid w:val="004A1876"/>
    <w:rsid w:val="004A2BF2"/>
    <w:rsid w:val="004A372A"/>
    <w:rsid w:val="004A5148"/>
    <w:rsid w:val="004A71A8"/>
    <w:rsid w:val="004B007F"/>
    <w:rsid w:val="004B2F1F"/>
    <w:rsid w:val="004B366A"/>
    <w:rsid w:val="004B4DB2"/>
    <w:rsid w:val="004B6FAF"/>
    <w:rsid w:val="004C0487"/>
    <w:rsid w:val="004C2404"/>
    <w:rsid w:val="004C34CB"/>
    <w:rsid w:val="004C38C7"/>
    <w:rsid w:val="004C4885"/>
    <w:rsid w:val="004C7621"/>
    <w:rsid w:val="004D13D8"/>
    <w:rsid w:val="004D1BBF"/>
    <w:rsid w:val="004D3CB5"/>
    <w:rsid w:val="004D458D"/>
    <w:rsid w:val="004D5DBA"/>
    <w:rsid w:val="004D620A"/>
    <w:rsid w:val="004D709A"/>
    <w:rsid w:val="004D7318"/>
    <w:rsid w:val="004D7BCD"/>
    <w:rsid w:val="004D7DC9"/>
    <w:rsid w:val="004E0BCD"/>
    <w:rsid w:val="004E1654"/>
    <w:rsid w:val="004E1B80"/>
    <w:rsid w:val="004E3B8F"/>
    <w:rsid w:val="004E45C8"/>
    <w:rsid w:val="004E5774"/>
    <w:rsid w:val="004E5B4E"/>
    <w:rsid w:val="004E6078"/>
    <w:rsid w:val="004E7DFD"/>
    <w:rsid w:val="004F121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578D"/>
    <w:rsid w:val="005179E5"/>
    <w:rsid w:val="00520F05"/>
    <w:rsid w:val="00521028"/>
    <w:rsid w:val="0052151D"/>
    <w:rsid w:val="00524082"/>
    <w:rsid w:val="00526E01"/>
    <w:rsid w:val="0053005A"/>
    <w:rsid w:val="00531E52"/>
    <w:rsid w:val="00533859"/>
    <w:rsid w:val="00535344"/>
    <w:rsid w:val="00535E05"/>
    <w:rsid w:val="00535FB7"/>
    <w:rsid w:val="00536A64"/>
    <w:rsid w:val="00537820"/>
    <w:rsid w:val="00537AE3"/>
    <w:rsid w:val="00541F39"/>
    <w:rsid w:val="0054246D"/>
    <w:rsid w:val="005452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70351"/>
    <w:rsid w:val="0057175D"/>
    <w:rsid w:val="0057195B"/>
    <w:rsid w:val="00575F0D"/>
    <w:rsid w:val="00576D2C"/>
    <w:rsid w:val="005831C9"/>
    <w:rsid w:val="0058364B"/>
    <w:rsid w:val="00587584"/>
    <w:rsid w:val="00590DFA"/>
    <w:rsid w:val="005924EB"/>
    <w:rsid w:val="005928CC"/>
    <w:rsid w:val="00593228"/>
    <w:rsid w:val="005949F2"/>
    <w:rsid w:val="00595B9D"/>
    <w:rsid w:val="005976D7"/>
    <w:rsid w:val="00597E4D"/>
    <w:rsid w:val="005A00B7"/>
    <w:rsid w:val="005A0F92"/>
    <w:rsid w:val="005A30DD"/>
    <w:rsid w:val="005A3659"/>
    <w:rsid w:val="005A3ED4"/>
    <w:rsid w:val="005A4BF9"/>
    <w:rsid w:val="005A4DED"/>
    <w:rsid w:val="005B0299"/>
    <w:rsid w:val="005B0D49"/>
    <w:rsid w:val="005B200B"/>
    <w:rsid w:val="005B2E2D"/>
    <w:rsid w:val="005B3009"/>
    <w:rsid w:val="005B326E"/>
    <w:rsid w:val="005B37B5"/>
    <w:rsid w:val="005B430B"/>
    <w:rsid w:val="005B509E"/>
    <w:rsid w:val="005B5654"/>
    <w:rsid w:val="005B6CE6"/>
    <w:rsid w:val="005B6E0E"/>
    <w:rsid w:val="005C14DE"/>
    <w:rsid w:val="005C1E91"/>
    <w:rsid w:val="005C24FF"/>
    <w:rsid w:val="005C277D"/>
    <w:rsid w:val="005C417A"/>
    <w:rsid w:val="005C4F9E"/>
    <w:rsid w:val="005C515A"/>
    <w:rsid w:val="005D1245"/>
    <w:rsid w:val="005D52F1"/>
    <w:rsid w:val="005D57DC"/>
    <w:rsid w:val="005D6559"/>
    <w:rsid w:val="005D7160"/>
    <w:rsid w:val="005E1E43"/>
    <w:rsid w:val="005E32EC"/>
    <w:rsid w:val="005E3889"/>
    <w:rsid w:val="005E4FC7"/>
    <w:rsid w:val="005E7323"/>
    <w:rsid w:val="005F002D"/>
    <w:rsid w:val="005F07F7"/>
    <w:rsid w:val="005F0C04"/>
    <w:rsid w:val="005F1F9E"/>
    <w:rsid w:val="005F28C4"/>
    <w:rsid w:val="005F4895"/>
    <w:rsid w:val="005F4CD2"/>
    <w:rsid w:val="005F5D91"/>
    <w:rsid w:val="005F5E6A"/>
    <w:rsid w:val="005F7A15"/>
    <w:rsid w:val="00600969"/>
    <w:rsid w:val="006009E7"/>
    <w:rsid w:val="00602C3D"/>
    <w:rsid w:val="006044B3"/>
    <w:rsid w:val="00606D54"/>
    <w:rsid w:val="00607528"/>
    <w:rsid w:val="00610093"/>
    <w:rsid w:val="006101B7"/>
    <w:rsid w:val="006123D2"/>
    <w:rsid w:val="00613B22"/>
    <w:rsid w:val="00614142"/>
    <w:rsid w:val="00615310"/>
    <w:rsid w:val="006177EB"/>
    <w:rsid w:val="00620249"/>
    <w:rsid w:val="0062053C"/>
    <w:rsid w:val="006212CC"/>
    <w:rsid w:val="0062186B"/>
    <w:rsid w:val="00621CB7"/>
    <w:rsid w:val="00622195"/>
    <w:rsid w:val="006225DF"/>
    <w:rsid w:val="00622D58"/>
    <w:rsid w:val="006233D1"/>
    <w:rsid w:val="00623616"/>
    <w:rsid w:val="0062382B"/>
    <w:rsid w:val="00623FCD"/>
    <w:rsid w:val="006243DB"/>
    <w:rsid w:val="00624E22"/>
    <w:rsid w:val="00624E9B"/>
    <w:rsid w:val="006259F1"/>
    <w:rsid w:val="00625F1C"/>
    <w:rsid w:val="00626194"/>
    <w:rsid w:val="00626B52"/>
    <w:rsid w:val="006272DC"/>
    <w:rsid w:val="006274F6"/>
    <w:rsid w:val="00627BB5"/>
    <w:rsid w:val="00632282"/>
    <w:rsid w:val="00632681"/>
    <w:rsid w:val="00632875"/>
    <w:rsid w:val="00632A3A"/>
    <w:rsid w:val="00636F58"/>
    <w:rsid w:val="00637089"/>
    <w:rsid w:val="00640784"/>
    <w:rsid w:val="0064187F"/>
    <w:rsid w:val="00646BBF"/>
    <w:rsid w:val="00647BCE"/>
    <w:rsid w:val="006512EA"/>
    <w:rsid w:val="0065193E"/>
    <w:rsid w:val="006530B8"/>
    <w:rsid w:val="00653283"/>
    <w:rsid w:val="006547C2"/>
    <w:rsid w:val="006548A6"/>
    <w:rsid w:val="006603C0"/>
    <w:rsid w:val="00661AFD"/>
    <w:rsid w:val="0066352C"/>
    <w:rsid w:val="00664164"/>
    <w:rsid w:val="00664750"/>
    <w:rsid w:val="0066562E"/>
    <w:rsid w:val="00666BB5"/>
    <w:rsid w:val="00667BC0"/>
    <w:rsid w:val="0067446E"/>
    <w:rsid w:val="006750C5"/>
    <w:rsid w:val="0067522E"/>
    <w:rsid w:val="00675B6C"/>
    <w:rsid w:val="00677F05"/>
    <w:rsid w:val="00680C60"/>
    <w:rsid w:val="00682D69"/>
    <w:rsid w:val="00684098"/>
    <w:rsid w:val="00684450"/>
    <w:rsid w:val="006941E4"/>
    <w:rsid w:val="006948E0"/>
    <w:rsid w:val="00695A3B"/>
    <w:rsid w:val="00696470"/>
    <w:rsid w:val="006964AB"/>
    <w:rsid w:val="00697A01"/>
    <w:rsid w:val="006A03C6"/>
    <w:rsid w:val="006A25AA"/>
    <w:rsid w:val="006A404D"/>
    <w:rsid w:val="006A4498"/>
    <w:rsid w:val="006A4634"/>
    <w:rsid w:val="006B023E"/>
    <w:rsid w:val="006B13A6"/>
    <w:rsid w:val="006B21AB"/>
    <w:rsid w:val="006B2AB3"/>
    <w:rsid w:val="006B5425"/>
    <w:rsid w:val="006B5EA3"/>
    <w:rsid w:val="006B72D1"/>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0E18"/>
    <w:rsid w:val="006E12F4"/>
    <w:rsid w:val="006E132C"/>
    <w:rsid w:val="006E28EA"/>
    <w:rsid w:val="006E2BBA"/>
    <w:rsid w:val="006E2D98"/>
    <w:rsid w:val="006E4868"/>
    <w:rsid w:val="006E73EB"/>
    <w:rsid w:val="006F08CE"/>
    <w:rsid w:val="006F0D2F"/>
    <w:rsid w:val="006F16D2"/>
    <w:rsid w:val="006F231D"/>
    <w:rsid w:val="006F3669"/>
    <w:rsid w:val="006F3707"/>
    <w:rsid w:val="006F40F8"/>
    <w:rsid w:val="006F4549"/>
    <w:rsid w:val="006F49EF"/>
    <w:rsid w:val="006F4C37"/>
    <w:rsid w:val="006F51A3"/>
    <w:rsid w:val="006F51E1"/>
    <w:rsid w:val="006F5B5B"/>
    <w:rsid w:val="006F7CC5"/>
    <w:rsid w:val="00700141"/>
    <w:rsid w:val="007029D8"/>
    <w:rsid w:val="0070331A"/>
    <w:rsid w:val="0070574A"/>
    <w:rsid w:val="00705D50"/>
    <w:rsid w:val="00706B45"/>
    <w:rsid w:val="0070743B"/>
    <w:rsid w:val="00707D60"/>
    <w:rsid w:val="00710E28"/>
    <w:rsid w:val="007120C0"/>
    <w:rsid w:val="0071248C"/>
    <w:rsid w:val="007128A8"/>
    <w:rsid w:val="00713121"/>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C7C"/>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64F7"/>
    <w:rsid w:val="0076761E"/>
    <w:rsid w:val="0077087D"/>
    <w:rsid w:val="00770EDE"/>
    <w:rsid w:val="007769DE"/>
    <w:rsid w:val="00776EF6"/>
    <w:rsid w:val="007823ED"/>
    <w:rsid w:val="00784DE7"/>
    <w:rsid w:val="00785027"/>
    <w:rsid w:val="0078580F"/>
    <w:rsid w:val="0079136D"/>
    <w:rsid w:val="007936BC"/>
    <w:rsid w:val="0079453E"/>
    <w:rsid w:val="00795A03"/>
    <w:rsid w:val="00796E0D"/>
    <w:rsid w:val="00796FBB"/>
    <w:rsid w:val="00797EA4"/>
    <w:rsid w:val="007A055F"/>
    <w:rsid w:val="007A1E26"/>
    <w:rsid w:val="007A2E71"/>
    <w:rsid w:val="007A5EDC"/>
    <w:rsid w:val="007A7237"/>
    <w:rsid w:val="007B0110"/>
    <w:rsid w:val="007B11F8"/>
    <w:rsid w:val="007B2D57"/>
    <w:rsid w:val="007B3098"/>
    <w:rsid w:val="007B5BDB"/>
    <w:rsid w:val="007B5BF0"/>
    <w:rsid w:val="007B6325"/>
    <w:rsid w:val="007B71FE"/>
    <w:rsid w:val="007B7C68"/>
    <w:rsid w:val="007C0C67"/>
    <w:rsid w:val="007C109A"/>
    <w:rsid w:val="007C2558"/>
    <w:rsid w:val="007C482A"/>
    <w:rsid w:val="007C4E13"/>
    <w:rsid w:val="007C5328"/>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2EF"/>
    <w:rsid w:val="007E79BA"/>
    <w:rsid w:val="007E7C07"/>
    <w:rsid w:val="007F1B16"/>
    <w:rsid w:val="007F27F1"/>
    <w:rsid w:val="007F2966"/>
    <w:rsid w:val="007F3765"/>
    <w:rsid w:val="007F3EBC"/>
    <w:rsid w:val="007F4989"/>
    <w:rsid w:val="007F519E"/>
    <w:rsid w:val="007F61B3"/>
    <w:rsid w:val="007F653C"/>
    <w:rsid w:val="007F6564"/>
    <w:rsid w:val="00800F79"/>
    <w:rsid w:val="00801122"/>
    <w:rsid w:val="00802119"/>
    <w:rsid w:val="008025AE"/>
    <w:rsid w:val="00806B90"/>
    <w:rsid w:val="00806DCE"/>
    <w:rsid w:val="00807819"/>
    <w:rsid w:val="0081453A"/>
    <w:rsid w:val="008152E0"/>
    <w:rsid w:val="00815575"/>
    <w:rsid w:val="00820044"/>
    <w:rsid w:val="00820767"/>
    <w:rsid w:val="00822E80"/>
    <w:rsid w:val="00823339"/>
    <w:rsid w:val="0082427E"/>
    <w:rsid w:val="00824C0D"/>
    <w:rsid w:val="008251ED"/>
    <w:rsid w:val="008257BA"/>
    <w:rsid w:val="00825E5A"/>
    <w:rsid w:val="0083022B"/>
    <w:rsid w:val="0083031E"/>
    <w:rsid w:val="00830FEC"/>
    <w:rsid w:val="00832FF1"/>
    <w:rsid w:val="00833330"/>
    <w:rsid w:val="00835813"/>
    <w:rsid w:val="008366E7"/>
    <w:rsid w:val="0083740C"/>
    <w:rsid w:val="00840CD5"/>
    <w:rsid w:val="00841CA4"/>
    <w:rsid w:val="00842224"/>
    <w:rsid w:val="00845515"/>
    <w:rsid w:val="00846958"/>
    <w:rsid w:val="00846CE9"/>
    <w:rsid w:val="008513F4"/>
    <w:rsid w:val="00851EBC"/>
    <w:rsid w:val="00852AE5"/>
    <w:rsid w:val="00852B91"/>
    <w:rsid w:val="00853E05"/>
    <w:rsid w:val="0085529C"/>
    <w:rsid w:val="00856552"/>
    <w:rsid w:val="00860410"/>
    <w:rsid w:val="0086063F"/>
    <w:rsid w:val="008609E6"/>
    <w:rsid w:val="00863B78"/>
    <w:rsid w:val="00865081"/>
    <w:rsid w:val="00865990"/>
    <w:rsid w:val="00865C80"/>
    <w:rsid w:val="00867CAC"/>
    <w:rsid w:val="00870045"/>
    <w:rsid w:val="00872055"/>
    <w:rsid w:val="00874F4F"/>
    <w:rsid w:val="00875F21"/>
    <w:rsid w:val="00880B2F"/>
    <w:rsid w:val="008812DA"/>
    <w:rsid w:val="00881642"/>
    <w:rsid w:val="00881BE0"/>
    <w:rsid w:val="00882B91"/>
    <w:rsid w:val="00883364"/>
    <w:rsid w:val="00885FB0"/>
    <w:rsid w:val="00887A1A"/>
    <w:rsid w:val="00891158"/>
    <w:rsid w:val="00891814"/>
    <w:rsid w:val="0089469C"/>
    <w:rsid w:val="008954C1"/>
    <w:rsid w:val="008A0703"/>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B7361"/>
    <w:rsid w:val="008C05DC"/>
    <w:rsid w:val="008C074D"/>
    <w:rsid w:val="008C32E7"/>
    <w:rsid w:val="008C4585"/>
    <w:rsid w:val="008C48E9"/>
    <w:rsid w:val="008C5298"/>
    <w:rsid w:val="008C5E93"/>
    <w:rsid w:val="008C7A02"/>
    <w:rsid w:val="008D1B99"/>
    <w:rsid w:val="008D3049"/>
    <w:rsid w:val="008D4CF4"/>
    <w:rsid w:val="008D4F73"/>
    <w:rsid w:val="008D6B28"/>
    <w:rsid w:val="008E4D3C"/>
    <w:rsid w:val="008E5271"/>
    <w:rsid w:val="008E5DE3"/>
    <w:rsid w:val="008E5F70"/>
    <w:rsid w:val="008E631D"/>
    <w:rsid w:val="008E72F2"/>
    <w:rsid w:val="008F00F3"/>
    <w:rsid w:val="008F028E"/>
    <w:rsid w:val="008F0316"/>
    <w:rsid w:val="008F185C"/>
    <w:rsid w:val="008F18CB"/>
    <w:rsid w:val="008F238A"/>
    <w:rsid w:val="008F30E9"/>
    <w:rsid w:val="008F3B62"/>
    <w:rsid w:val="008F3C23"/>
    <w:rsid w:val="008F4A0E"/>
    <w:rsid w:val="008F575E"/>
    <w:rsid w:val="008F6A42"/>
    <w:rsid w:val="008F7B8F"/>
    <w:rsid w:val="0090275E"/>
    <w:rsid w:val="009028F7"/>
    <w:rsid w:val="00902EE1"/>
    <w:rsid w:val="00904017"/>
    <w:rsid w:val="00904552"/>
    <w:rsid w:val="009058C0"/>
    <w:rsid w:val="00905B99"/>
    <w:rsid w:val="00905DBF"/>
    <w:rsid w:val="00906653"/>
    <w:rsid w:val="009066ED"/>
    <w:rsid w:val="00906AC0"/>
    <w:rsid w:val="00906EE3"/>
    <w:rsid w:val="00907C2E"/>
    <w:rsid w:val="009117D4"/>
    <w:rsid w:val="00911D91"/>
    <w:rsid w:val="00912457"/>
    <w:rsid w:val="00913446"/>
    <w:rsid w:val="00913600"/>
    <w:rsid w:val="009137B2"/>
    <w:rsid w:val="00913DFB"/>
    <w:rsid w:val="00913F4D"/>
    <w:rsid w:val="0091430E"/>
    <w:rsid w:val="009156E6"/>
    <w:rsid w:val="00920406"/>
    <w:rsid w:val="00921302"/>
    <w:rsid w:val="00921AD2"/>
    <w:rsid w:val="0092300C"/>
    <w:rsid w:val="00924067"/>
    <w:rsid w:val="0092453D"/>
    <w:rsid w:val="009254C2"/>
    <w:rsid w:val="0092715D"/>
    <w:rsid w:val="00927B35"/>
    <w:rsid w:val="00930F33"/>
    <w:rsid w:val="00931AE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53F00"/>
    <w:rsid w:val="00960A9B"/>
    <w:rsid w:val="00960E70"/>
    <w:rsid w:val="009610CC"/>
    <w:rsid w:val="00964668"/>
    <w:rsid w:val="00964AE8"/>
    <w:rsid w:val="00966245"/>
    <w:rsid w:val="009662A1"/>
    <w:rsid w:val="009662CB"/>
    <w:rsid w:val="00967106"/>
    <w:rsid w:val="00967325"/>
    <w:rsid w:val="00967FE7"/>
    <w:rsid w:val="00971000"/>
    <w:rsid w:val="0097243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3624"/>
    <w:rsid w:val="00994525"/>
    <w:rsid w:val="00995A31"/>
    <w:rsid w:val="009A0116"/>
    <w:rsid w:val="009A03AE"/>
    <w:rsid w:val="009A1A49"/>
    <w:rsid w:val="009A2362"/>
    <w:rsid w:val="009A2405"/>
    <w:rsid w:val="009A4BD1"/>
    <w:rsid w:val="009A5C7C"/>
    <w:rsid w:val="009A751C"/>
    <w:rsid w:val="009B262B"/>
    <w:rsid w:val="009B30CE"/>
    <w:rsid w:val="009B4DB0"/>
    <w:rsid w:val="009B639E"/>
    <w:rsid w:val="009B7E0E"/>
    <w:rsid w:val="009C0693"/>
    <w:rsid w:val="009C0F48"/>
    <w:rsid w:val="009C22B6"/>
    <w:rsid w:val="009C4446"/>
    <w:rsid w:val="009C460C"/>
    <w:rsid w:val="009C472B"/>
    <w:rsid w:val="009C4D37"/>
    <w:rsid w:val="009C7825"/>
    <w:rsid w:val="009D0B45"/>
    <w:rsid w:val="009D46F6"/>
    <w:rsid w:val="009D4E15"/>
    <w:rsid w:val="009D70C0"/>
    <w:rsid w:val="009E10CE"/>
    <w:rsid w:val="009E27CB"/>
    <w:rsid w:val="009E2846"/>
    <w:rsid w:val="009E5479"/>
    <w:rsid w:val="009E61CA"/>
    <w:rsid w:val="009F2A8B"/>
    <w:rsid w:val="009F2DF3"/>
    <w:rsid w:val="009F3D12"/>
    <w:rsid w:val="009F56DE"/>
    <w:rsid w:val="009F681B"/>
    <w:rsid w:val="009F6D2E"/>
    <w:rsid w:val="009F7D4C"/>
    <w:rsid w:val="009F7E9D"/>
    <w:rsid w:val="00A00652"/>
    <w:rsid w:val="00A00F40"/>
    <w:rsid w:val="00A0666D"/>
    <w:rsid w:val="00A104E3"/>
    <w:rsid w:val="00A14249"/>
    <w:rsid w:val="00A14558"/>
    <w:rsid w:val="00A14703"/>
    <w:rsid w:val="00A15323"/>
    <w:rsid w:val="00A15D30"/>
    <w:rsid w:val="00A15F07"/>
    <w:rsid w:val="00A17579"/>
    <w:rsid w:val="00A176F9"/>
    <w:rsid w:val="00A178CE"/>
    <w:rsid w:val="00A20C1E"/>
    <w:rsid w:val="00A20CA8"/>
    <w:rsid w:val="00A21B77"/>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B90"/>
    <w:rsid w:val="00A9192E"/>
    <w:rsid w:val="00A93740"/>
    <w:rsid w:val="00A93AEE"/>
    <w:rsid w:val="00A95B0E"/>
    <w:rsid w:val="00A978F1"/>
    <w:rsid w:val="00A97B87"/>
    <w:rsid w:val="00A97BCE"/>
    <w:rsid w:val="00AA1306"/>
    <w:rsid w:val="00AA4029"/>
    <w:rsid w:val="00AA5196"/>
    <w:rsid w:val="00AA5198"/>
    <w:rsid w:val="00AB1E5B"/>
    <w:rsid w:val="00AB2F69"/>
    <w:rsid w:val="00AB3E50"/>
    <w:rsid w:val="00AB5FB8"/>
    <w:rsid w:val="00AB725D"/>
    <w:rsid w:val="00AB7AF6"/>
    <w:rsid w:val="00AC20FE"/>
    <w:rsid w:val="00AC22B9"/>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2A80"/>
    <w:rsid w:val="00AE3503"/>
    <w:rsid w:val="00AE370E"/>
    <w:rsid w:val="00AE6511"/>
    <w:rsid w:val="00AE758F"/>
    <w:rsid w:val="00AE7623"/>
    <w:rsid w:val="00AE76DF"/>
    <w:rsid w:val="00AF05A6"/>
    <w:rsid w:val="00AF078B"/>
    <w:rsid w:val="00AF0E75"/>
    <w:rsid w:val="00AF14FD"/>
    <w:rsid w:val="00AF461B"/>
    <w:rsid w:val="00AF4839"/>
    <w:rsid w:val="00AF568D"/>
    <w:rsid w:val="00AF659B"/>
    <w:rsid w:val="00B010E3"/>
    <w:rsid w:val="00B0129B"/>
    <w:rsid w:val="00B01B56"/>
    <w:rsid w:val="00B03737"/>
    <w:rsid w:val="00B0683E"/>
    <w:rsid w:val="00B07E0D"/>
    <w:rsid w:val="00B10529"/>
    <w:rsid w:val="00B116CC"/>
    <w:rsid w:val="00B1361F"/>
    <w:rsid w:val="00B16F50"/>
    <w:rsid w:val="00B177C3"/>
    <w:rsid w:val="00B22B8C"/>
    <w:rsid w:val="00B30625"/>
    <w:rsid w:val="00B35565"/>
    <w:rsid w:val="00B3642B"/>
    <w:rsid w:val="00B37A08"/>
    <w:rsid w:val="00B404F9"/>
    <w:rsid w:val="00B405C0"/>
    <w:rsid w:val="00B42E90"/>
    <w:rsid w:val="00B4462A"/>
    <w:rsid w:val="00B45371"/>
    <w:rsid w:val="00B45AD6"/>
    <w:rsid w:val="00B50FE4"/>
    <w:rsid w:val="00B5194C"/>
    <w:rsid w:val="00B52B36"/>
    <w:rsid w:val="00B54B48"/>
    <w:rsid w:val="00B54D5A"/>
    <w:rsid w:val="00B55ACD"/>
    <w:rsid w:val="00B57E6D"/>
    <w:rsid w:val="00B61172"/>
    <w:rsid w:val="00B6171D"/>
    <w:rsid w:val="00B62A6F"/>
    <w:rsid w:val="00B62F8C"/>
    <w:rsid w:val="00B6494F"/>
    <w:rsid w:val="00B64A95"/>
    <w:rsid w:val="00B66452"/>
    <w:rsid w:val="00B677AD"/>
    <w:rsid w:val="00B71207"/>
    <w:rsid w:val="00B718A8"/>
    <w:rsid w:val="00B71959"/>
    <w:rsid w:val="00B727EC"/>
    <w:rsid w:val="00B73170"/>
    <w:rsid w:val="00B7463F"/>
    <w:rsid w:val="00B74D53"/>
    <w:rsid w:val="00B7570B"/>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3AB0"/>
    <w:rsid w:val="00BA6548"/>
    <w:rsid w:val="00BA66DB"/>
    <w:rsid w:val="00BA7297"/>
    <w:rsid w:val="00BA7EF5"/>
    <w:rsid w:val="00BB0EF0"/>
    <w:rsid w:val="00BB3E22"/>
    <w:rsid w:val="00BB4DFC"/>
    <w:rsid w:val="00BC02F2"/>
    <w:rsid w:val="00BC0369"/>
    <w:rsid w:val="00BC0458"/>
    <w:rsid w:val="00BC058F"/>
    <w:rsid w:val="00BC1146"/>
    <w:rsid w:val="00BC1893"/>
    <w:rsid w:val="00BC235E"/>
    <w:rsid w:val="00BC235F"/>
    <w:rsid w:val="00BC4ADB"/>
    <w:rsid w:val="00BC6DBC"/>
    <w:rsid w:val="00BC72C5"/>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4E71"/>
    <w:rsid w:val="00BE5EFD"/>
    <w:rsid w:val="00BE738C"/>
    <w:rsid w:val="00BF1981"/>
    <w:rsid w:val="00BF1F51"/>
    <w:rsid w:val="00BF2501"/>
    <w:rsid w:val="00BF3BE7"/>
    <w:rsid w:val="00BF3DCF"/>
    <w:rsid w:val="00BF694B"/>
    <w:rsid w:val="00BF7E1D"/>
    <w:rsid w:val="00C003E4"/>
    <w:rsid w:val="00C00E3D"/>
    <w:rsid w:val="00C00FEA"/>
    <w:rsid w:val="00C017B4"/>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08F1"/>
    <w:rsid w:val="00C230F5"/>
    <w:rsid w:val="00C24B04"/>
    <w:rsid w:val="00C2564F"/>
    <w:rsid w:val="00C26FFC"/>
    <w:rsid w:val="00C27517"/>
    <w:rsid w:val="00C27BA4"/>
    <w:rsid w:val="00C27E0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2795"/>
    <w:rsid w:val="00C5455B"/>
    <w:rsid w:val="00C54D94"/>
    <w:rsid w:val="00C55364"/>
    <w:rsid w:val="00C56A90"/>
    <w:rsid w:val="00C56D55"/>
    <w:rsid w:val="00C579DE"/>
    <w:rsid w:val="00C57CEE"/>
    <w:rsid w:val="00C60388"/>
    <w:rsid w:val="00C60940"/>
    <w:rsid w:val="00C61668"/>
    <w:rsid w:val="00C61889"/>
    <w:rsid w:val="00C62E65"/>
    <w:rsid w:val="00C6372A"/>
    <w:rsid w:val="00C662B7"/>
    <w:rsid w:val="00C67C93"/>
    <w:rsid w:val="00C714F7"/>
    <w:rsid w:val="00C805AB"/>
    <w:rsid w:val="00C817B8"/>
    <w:rsid w:val="00C823E6"/>
    <w:rsid w:val="00C83102"/>
    <w:rsid w:val="00C84C61"/>
    <w:rsid w:val="00C85E5F"/>
    <w:rsid w:val="00C86CD1"/>
    <w:rsid w:val="00C87594"/>
    <w:rsid w:val="00C9097A"/>
    <w:rsid w:val="00C95CE8"/>
    <w:rsid w:val="00C95FE7"/>
    <w:rsid w:val="00CA02BC"/>
    <w:rsid w:val="00CA0859"/>
    <w:rsid w:val="00CA0B4B"/>
    <w:rsid w:val="00CA0C93"/>
    <w:rsid w:val="00CA18FF"/>
    <w:rsid w:val="00CA198A"/>
    <w:rsid w:val="00CA252B"/>
    <w:rsid w:val="00CA50C5"/>
    <w:rsid w:val="00CB1585"/>
    <w:rsid w:val="00CB4416"/>
    <w:rsid w:val="00CB44A3"/>
    <w:rsid w:val="00CB5A4E"/>
    <w:rsid w:val="00CB5A9E"/>
    <w:rsid w:val="00CB691E"/>
    <w:rsid w:val="00CB76A9"/>
    <w:rsid w:val="00CC135B"/>
    <w:rsid w:val="00CC17A8"/>
    <w:rsid w:val="00CC2AB4"/>
    <w:rsid w:val="00CC32C9"/>
    <w:rsid w:val="00CC5001"/>
    <w:rsid w:val="00CC50F3"/>
    <w:rsid w:val="00CC7589"/>
    <w:rsid w:val="00CD06DA"/>
    <w:rsid w:val="00CD2712"/>
    <w:rsid w:val="00CE0600"/>
    <w:rsid w:val="00CE09A0"/>
    <w:rsid w:val="00CE15FA"/>
    <w:rsid w:val="00CE3B07"/>
    <w:rsid w:val="00CE3EBE"/>
    <w:rsid w:val="00CF1406"/>
    <w:rsid w:val="00CF199B"/>
    <w:rsid w:val="00CF2063"/>
    <w:rsid w:val="00CF2794"/>
    <w:rsid w:val="00CF2F70"/>
    <w:rsid w:val="00CF534C"/>
    <w:rsid w:val="00CF5EEA"/>
    <w:rsid w:val="00CF7553"/>
    <w:rsid w:val="00D0180C"/>
    <w:rsid w:val="00D02C17"/>
    <w:rsid w:val="00D0472A"/>
    <w:rsid w:val="00D05CFE"/>
    <w:rsid w:val="00D05EE4"/>
    <w:rsid w:val="00D05F8B"/>
    <w:rsid w:val="00D06161"/>
    <w:rsid w:val="00D068A0"/>
    <w:rsid w:val="00D06A53"/>
    <w:rsid w:val="00D07290"/>
    <w:rsid w:val="00D075BE"/>
    <w:rsid w:val="00D07DA2"/>
    <w:rsid w:val="00D07F08"/>
    <w:rsid w:val="00D11031"/>
    <w:rsid w:val="00D126A1"/>
    <w:rsid w:val="00D1306C"/>
    <w:rsid w:val="00D1366C"/>
    <w:rsid w:val="00D13DF0"/>
    <w:rsid w:val="00D161B7"/>
    <w:rsid w:val="00D201A9"/>
    <w:rsid w:val="00D20B84"/>
    <w:rsid w:val="00D20DDA"/>
    <w:rsid w:val="00D220C1"/>
    <w:rsid w:val="00D2283B"/>
    <w:rsid w:val="00D22922"/>
    <w:rsid w:val="00D22ED4"/>
    <w:rsid w:val="00D23242"/>
    <w:rsid w:val="00D233A7"/>
    <w:rsid w:val="00D25336"/>
    <w:rsid w:val="00D27FBA"/>
    <w:rsid w:val="00D30AAB"/>
    <w:rsid w:val="00D30C1E"/>
    <w:rsid w:val="00D31947"/>
    <w:rsid w:val="00D31F0F"/>
    <w:rsid w:val="00D3215E"/>
    <w:rsid w:val="00D32C32"/>
    <w:rsid w:val="00D34DA9"/>
    <w:rsid w:val="00D374AA"/>
    <w:rsid w:val="00D419D4"/>
    <w:rsid w:val="00D41F70"/>
    <w:rsid w:val="00D43CF5"/>
    <w:rsid w:val="00D440D0"/>
    <w:rsid w:val="00D476A9"/>
    <w:rsid w:val="00D50274"/>
    <w:rsid w:val="00D5187F"/>
    <w:rsid w:val="00D51A5F"/>
    <w:rsid w:val="00D51E52"/>
    <w:rsid w:val="00D53721"/>
    <w:rsid w:val="00D558F5"/>
    <w:rsid w:val="00D567C6"/>
    <w:rsid w:val="00D5705B"/>
    <w:rsid w:val="00D61856"/>
    <w:rsid w:val="00D61DA7"/>
    <w:rsid w:val="00D63A26"/>
    <w:rsid w:val="00D65D20"/>
    <w:rsid w:val="00D65F03"/>
    <w:rsid w:val="00D7259B"/>
    <w:rsid w:val="00D76C8B"/>
    <w:rsid w:val="00D81141"/>
    <w:rsid w:val="00D814BF"/>
    <w:rsid w:val="00D82AD1"/>
    <w:rsid w:val="00D835C1"/>
    <w:rsid w:val="00D873F7"/>
    <w:rsid w:val="00D879D3"/>
    <w:rsid w:val="00D87E2B"/>
    <w:rsid w:val="00D90A35"/>
    <w:rsid w:val="00D914C6"/>
    <w:rsid w:val="00D932AD"/>
    <w:rsid w:val="00D93563"/>
    <w:rsid w:val="00D93699"/>
    <w:rsid w:val="00D9454D"/>
    <w:rsid w:val="00D94C50"/>
    <w:rsid w:val="00DA1AE6"/>
    <w:rsid w:val="00DA504A"/>
    <w:rsid w:val="00DA779B"/>
    <w:rsid w:val="00DB0EFA"/>
    <w:rsid w:val="00DB2528"/>
    <w:rsid w:val="00DB2842"/>
    <w:rsid w:val="00DB40E6"/>
    <w:rsid w:val="00DB7635"/>
    <w:rsid w:val="00DB77E1"/>
    <w:rsid w:val="00DB7901"/>
    <w:rsid w:val="00DC15DF"/>
    <w:rsid w:val="00DC20E3"/>
    <w:rsid w:val="00DC308B"/>
    <w:rsid w:val="00DC464D"/>
    <w:rsid w:val="00DC6BAB"/>
    <w:rsid w:val="00DD03AA"/>
    <w:rsid w:val="00DD1B00"/>
    <w:rsid w:val="00DD5D2B"/>
    <w:rsid w:val="00DD69B3"/>
    <w:rsid w:val="00DD6B4B"/>
    <w:rsid w:val="00DE0950"/>
    <w:rsid w:val="00DE14A5"/>
    <w:rsid w:val="00DE164B"/>
    <w:rsid w:val="00DE2ADA"/>
    <w:rsid w:val="00DE2E90"/>
    <w:rsid w:val="00DF1171"/>
    <w:rsid w:val="00DF1659"/>
    <w:rsid w:val="00DF1680"/>
    <w:rsid w:val="00DF3D98"/>
    <w:rsid w:val="00DF4FBE"/>
    <w:rsid w:val="00DF7563"/>
    <w:rsid w:val="00E05D50"/>
    <w:rsid w:val="00E065D7"/>
    <w:rsid w:val="00E06D7C"/>
    <w:rsid w:val="00E06DDF"/>
    <w:rsid w:val="00E11489"/>
    <w:rsid w:val="00E12FBD"/>
    <w:rsid w:val="00E14B15"/>
    <w:rsid w:val="00E14E7A"/>
    <w:rsid w:val="00E21BB9"/>
    <w:rsid w:val="00E22C9F"/>
    <w:rsid w:val="00E23A62"/>
    <w:rsid w:val="00E2578D"/>
    <w:rsid w:val="00E27FB0"/>
    <w:rsid w:val="00E304E7"/>
    <w:rsid w:val="00E30989"/>
    <w:rsid w:val="00E326A9"/>
    <w:rsid w:val="00E328DD"/>
    <w:rsid w:val="00E32AE7"/>
    <w:rsid w:val="00E337DD"/>
    <w:rsid w:val="00E338A4"/>
    <w:rsid w:val="00E43461"/>
    <w:rsid w:val="00E44E12"/>
    <w:rsid w:val="00E4573F"/>
    <w:rsid w:val="00E4668E"/>
    <w:rsid w:val="00E4721E"/>
    <w:rsid w:val="00E47ACF"/>
    <w:rsid w:val="00E5134A"/>
    <w:rsid w:val="00E51E46"/>
    <w:rsid w:val="00E52EDC"/>
    <w:rsid w:val="00E53C35"/>
    <w:rsid w:val="00E553FB"/>
    <w:rsid w:val="00E5559A"/>
    <w:rsid w:val="00E6024F"/>
    <w:rsid w:val="00E60C5A"/>
    <w:rsid w:val="00E62E4F"/>
    <w:rsid w:val="00E6314A"/>
    <w:rsid w:val="00E63897"/>
    <w:rsid w:val="00E645DE"/>
    <w:rsid w:val="00E67718"/>
    <w:rsid w:val="00E67FC4"/>
    <w:rsid w:val="00E71D89"/>
    <w:rsid w:val="00E72A6D"/>
    <w:rsid w:val="00E76793"/>
    <w:rsid w:val="00E77164"/>
    <w:rsid w:val="00E77C77"/>
    <w:rsid w:val="00E82224"/>
    <w:rsid w:val="00E85F4E"/>
    <w:rsid w:val="00E86DA4"/>
    <w:rsid w:val="00E87015"/>
    <w:rsid w:val="00E8701B"/>
    <w:rsid w:val="00E904A2"/>
    <w:rsid w:val="00E91455"/>
    <w:rsid w:val="00E9195A"/>
    <w:rsid w:val="00E926AE"/>
    <w:rsid w:val="00E96860"/>
    <w:rsid w:val="00EA1439"/>
    <w:rsid w:val="00EA1F93"/>
    <w:rsid w:val="00EA4203"/>
    <w:rsid w:val="00EA4327"/>
    <w:rsid w:val="00EA4C1C"/>
    <w:rsid w:val="00EA51EE"/>
    <w:rsid w:val="00EA7541"/>
    <w:rsid w:val="00EB0937"/>
    <w:rsid w:val="00EB45D3"/>
    <w:rsid w:val="00EB5755"/>
    <w:rsid w:val="00EB6068"/>
    <w:rsid w:val="00EB726E"/>
    <w:rsid w:val="00EB783D"/>
    <w:rsid w:val="00EB7ABA"/>
    <w:rsid w:val="00EC23B9"/>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677"/>
    <w:rsid w:val="00EE368A"/>
    <w:rsid w:val="00EE3A6E"/>
    <w:rsid w:val="00EE3E8A"/>
    <w:rsid w:val="00EE710B"/>
    <w:rsid w:val="00EE71E9"/>
    <w:rsid w:val="00EF1059"/>
    <w:rsid w:val="00EF1B92"/>
    <w:rsid w:val="00EF2A01"/>
    <w:rsid w:val="00EF3C6A"/>
    <w:rsid w:val="00EF5215"/>
    <w:rsid w:val="00EF6093"/>
    <w:rsid w:val="00EF676A"/>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261C3"/>
    <w:rsid w:val="00F318C8"/>
    <w:rsid w:val="00F31D60"/>
    <w:rsid w:val="00F32221"/>
    <w:rsid w:val="00F32A88"/>
    <w:rsid w:val="00F336FF"/>
    <w:rsid w:val="00F33AFE"/>
    <w:rsid w:val="00F347A2"/>
    <w:rsid w:val="00F37221"/>
    <w:rsid w:val="00F4002D"/>
    <w:rsid w:val="00F40AB4"/>
    <w:rsid w:val="00F41CF5"/>
    <w:rsid w:val="00F44F9F"/>
    <w:rsid w:val="00F478FB"/>
    <w:rsid w:val="00F47E2C"/>
    <w:rsid w:val="00F53BB9"/>
    <w:rsid w:val="00F54284"/>
    <w:rsid w:val="00F54DDC"/>
    <w:rsid w:val="00F555AE"/>
    <w:rsid w:val="00F613E4"/>
    <w:rsid w:val="00F614E9"/>
    <w:rsid w:val="00F61C25"/>
    <w:rsid w:val="00F6224D"/>
    <w:rsid w:val="00F6259D"/>
    <w:rsid w:val="00F627CB"/>
    <w:rsid w:val="00F6511B"/>
    <w:rsid w:val="00F66D60"/>
    <w:rsid w:val="00F67FA0"/>
    <w:rsid w:val="00F73086"/>
    <w:rsid w:val="00F7457A"/>
    <w:rsid w:val="00F763C4"/>
    <w:rsid w:val="00F76E5A"/>
    <w:rsid w:val="00F772B7"/>
    <w:rsid w:val="00F81C9D"/>
    <w:rsid w:val="00F827DC"/>
    <w:rsid w:val="00F85E99"/>
    <w:rsid w:val="00F86ED3"/>
    <w:rsid w:val="00F8750C"/>
    <w:rsid w:val="00F87D5C"/>
    <w:rsid w:val="00F917DD"/>
    <w:rsid w:val="00F91AF3"/>
    <w:rsid w:val="00F91E2A"/>
    <w:rsid w:val="00F929C3"/>
    <w:rsid w:val="00F93541"/>
    <w:rsid w:val="00F94D06"/>
    <w:rsid w:val="00F9591B"/>
    <w:rsid w:val="00F9628F"/>
    <w:rsid w:val="00F967D4"/>
    <w:rsid w:val="00F968A8"/>
    <w:rsid w:val="00F96E8C"/>
    <w:rsid w:val="00FA0C77"/>
    <w:rsid w:val="00FA1004"/>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5ECF"/>
    <w:rsid w:val="00FC77E2"/>
    <w:rsid w:val="00FD0C3E"/>
    <w:rsid w:val="00FD32B1"/>
    <w:rsid w:val="00FD3D79"/>
    <w:rsid w:val="00FD5919"/>
    <w:rsid w:val="00FE1803"/>
    <w:rsid w:val="00FE25E4"/>
    <w:rsid w:val="00FE2F97"/>
    <w:rsid w:val="00FE48C5"/>
    <w:rsid w:val="00FE4CF5"/>
    <w:rsid w:val="00FE60F0"/>
    <w:rsid w:val="00FE6522"/>
    <w:rsid w:val="00FE733B"/>
    <w:rsid w:val="00FF01A0"/>
    <w:rsid w:val="00FF0DFD"/>
    <w:rsid w:val="00FF3745"/>
    <w:rsid w:val="00FF43D5"/>
    <w:rsid w:val="00FF4E23"/>
    <w:rsid w:val="00FF4F5E"/>
    <w:rsid w:val="00FF5C4C"/>
    <w:rsid w:val="00FF6129"/>
    <w:rsid w:val="01157263"/>
    <w:rsid w:val="01E82873"/>
    <w:rsid w:val="0269382A"/>
    <w:rsid w:val="03E21EAD"/>
    <w:rsid w:val="03FD4FDC"/>
    <w:rsid w:val="047017D4"/>
    <w:rsid w:val="04E2647A"/>
    <w:rsid w:val="05285D1E"/>
    <w:rsid w:val="055B7295"/>
    <w:rsid w:val="059E448B"/>
    <w:rsid w:val="05F63EF1"/>
    <w:rsid w:val="05F90897"/>
    <w:rsid w:val="06803F99"/>
    <w:rsid w:val="06C92C25"/>
    <w:rsid w:val="078F0773"/>
    <w:rsid w:val="07967BCD"/>
    <w:rsid w:val="07EA06E6"/>
    <w:rsid w:val="086B2AB5"/>
    <w:rsid w:val="093C7535"/>
    <w:rsid w:val="096010CB"/>
    <w:rsid w:val="0992531D"/>
    <w:rsid w:val="09E234A1"/>
    <w:rsid w:val="0A153E43"/>
    <w:rsid w:val="0A4A1533"/>
    <w:rsid w:val="0A8A7A8D"/>
    <w:rsid w:val="0AC25BF5"/>
    <w:rsid w:val="0B016BFE"/>
    <w:rsid w:val="0B0B5223"/>
    <w:rsid w:val="0B960141"/>
    <w:rsid w:val="0BDA64B2"/>
    <w:rsid w:val="0C1672E5"/>
    <w:rsid w:val="0C193AD3"/>
    <w:rsid w:val="0C9D4705"/>
    <w:rsid w:val="0D2B28C4"/>
    <w:rsid w:val="0EC1346C"/>
    <w:rsid w:val="0F352C54"/>
    <w:rsid w:val="0FC633DB"/>
    <w:rsid w:val="1020187E"/>
    <w:rsid w:val="107B4D5D"/>
    <w:rsid w:val="1089760E"/>
    <w:rsid w:val="11427122"/>
    <w:rsid w:val="11D33806"/>
    <w:rsid w:val="12412050"/>
    <w:rsid w:val="131176D8"/>
    <w:rsid w:val="131262D1"/>
    <w:rsid w:val="134772A4"/>
    <w:rsid w:val="13B300E5"/>
    <w:rsid w:val="14346C86"/>
    <w:rsid w:val="14B6474C"/>
    <w:rsid w:val="14E65973"/>
    <w:rsid w:val="16D44086"/>
    <w:rsid w:val="17082E43"/>
    <w:rsid w:val="174A39FF"/>
    <w:rsid w:val="17B865FB"/>
    <w:rsid w:val="17EC6540"/>
    <w:rsid w:val="180A43E5"/>
    <w:rsid w:val="18577FD9"/>
    <w:rsid w:val="188A6953"/>
    <w:rsid w:val="18B522E8"/>
    <w:rsid w:val="19B41023"/>
    <w:rsid w:val="19F66B31"/>
    <w:rsid w:val="1A6525DA"/>
    <w:rsid w:val="1A7A7710"/>
    <w:rsid w:val="1B20658C"/>
    <w:rsid w:val="1B6E08D8"/>
    <w:rsid w:val="1B765109"/>
    <w:rsid w:val="1BFB33CD"/>
    <w:rsid w:val="1C2361BA"/>
    <w:rsid w:val="1C865410"/>
    <w:rsid w:val="1CB14B2E"/>
    <w:rsid w:val="1CCA73CD"/>
    <w:rsid w:val="1CD11763"/>
    <w:rsid w:val="1CEB326A"/>
    <w:rsid w:val="1D197DB1"/>
    <w:rsid w:val="1D6113CB"/>
    <w:rsid w:val="1DA53C33"/>
    <w:rsid w:val="1E037E21"/>
    <w:rsid w:val="1EBD3EAF"/>
    <w:rsid w:val="1F826B41"/>
    <w:rsid w:val="1FF76E10"/>
    <w:rsid w:val="20010065"/>
    <w:rsid w:val="202E3614"/>
    <w:rsid w:val="20CB6D20"/>
    <w:rsid w:val="20CF31C3"/>
    <w:rsid w:val="212C4D1B"/>
    <w:rsid w:val="2248652F"/>
    <w:rsid w:val="22653052"/>
    <w:rsid w:val="23694374"/>
    <w:rsid w:val="238734D8"/>
    <w:rsid w:val="23A11E84"/>
    <w:rsid w:val="23D06579"/>
    <w:rsid w:val="24275D38"/>
    <w:rsid w:val="243A7A34"/>
    <w:rsid w:val="24A073D0"/>
    <w:rsid w:val="24A85EE5"/>
    <w:rsid w:val="24B4139A"/>
    <w:rsid w:val="24B800E0"/>
    <w:rsid w:val="251608E9"/>
    <w:rsid w:val="252F7456"/>
    <w:rsid w:val="255F776F"/>
    <w:rsid w:val="258B2FB3"/>
    <w:rsid w:val="25B707DD"/>
    <w:rsid w:val="25D52D09"/>
    <w:rsid w:val="25F21641"/>
    <w:rsid w:val="263962C5"/>
    <w:rsid w:val="26E72CFB"/>
    <w:rsid w:val="279D3C50"/>
    <w:rsid w:val="27B54BA0"/>
    <w:rsid w:val="27B80BC7"/>
    <w:rsid w:val="28332D9D"/>
    <w:rsid w:val="28423870"/>
    <w:rsid w:val="28C306E9"/>
    <w:rsid w:val="290503CC"/>
    <w:rsid w:val="294B7329"/>
    <w:rsid w:val="296048F6"/>
    <w:rsid w:val="29616227"/>
    <w:rsid w:val="298013A6"/>
    <w:rsid w:val="29D1602B"/>
    <w:rsid w:val="2A473AAA"/>
    <w:rsid w:val="2A4D68AA"/>
    <w:rsid w:val="2A72401F"/>
    <w:rsid w:val="2B15538A"/>
    <w:rsid w:val="2BCC4267"/>
    <w:rsid w:val="2D283F4E"/>
    <w:rsid w:val="2DC8572C"/>
    <w:rsid w:val="2E1178F3"/>
    <w:rsid w:val="2E1678C0"/>
    <w:rsid w:val="2F1159FB"/>
    <w:rsid w:val="2F611FCA"/>
    <w:rsid w:val="2F9B3A99"/>
    <w:rsid w:val="300F7337"/>
    <w:rsid w:val="30B426E9"/>
    <w:rsid w:val="32371154"/>
    <w:rsid w:val="324B0F88"/>
    <w:rsid w:val="32955223"/>
    <w:rsid w:val="329A3A1B"/>
    <w:rsid w:val="32AC28A3"/>
    <w:rsid w:val="32CD450B"/>
    <w:rsid w:val="334212B2"/>
    <w:rsid w:val="33900270"/>
    <w:rsid w:val="3432152E"/>
    <w:rsid w:val="3466420D"/>
    <w:rsid w:val="347A0A28"/>
    <w:rsid w:val="34B80FDB"/>
    <w:rsid w:val="35093A31"/>
    <w:rsid w:val="354407C6"/>
    <w:rsid w:val="35460FEA"/>
    <w:rsid w:val="35D94E62"/>
    <w:rsid w:val="35E011F0"/>
    <w:rsid w:val="35F8517E"/>
    <w:rsid w:val="36AA31C1"/>
    <w:rsid w:val="37556BD7"/>
    <w:rsid w:val="379977EB"/>
    <w:rsid w:val="38834898"/>
    <w:rsid w:val="38AE35BC"/>
    <w:rsid w:val="38B50BBD"/>
    <w:rsid w:val="39CE7FD9"/>
    <w:rsid w:val="3A2133F1"/>
    <w:rsid w:val="3A4737F4"/>
    <w:rsid w:val="3AA35FBF"/>
    <w:rsid w:val="3AF215C1"/>
    <w:rsid w:val="3B9C110D"/>
    <w:rsid w:val="3BAD3112"/>
    <w:rsid w:val="3BD229BA"/>
    <w:rsid w:val="3C59537C"/>
    <w:rsid w:val="3C654D26"/>
    <w:rsid w:val="3C6B33AC"/>
    <w:rsid w:val="3C895B81"/>
    <w:rsid w:val="3CD01B1C"/>
    <w:rsid w:val="3D316292"/>
    <w:rsid w:val="3DA45D52"/>
    <w:rsid w:val="3DA832A2"/>
    <w:rsid w:val="3EF55D75"/>
    <w:rsid w:val="40BA6823"/>
    <w:rsid w:val="40F94425"/>
    <w:rsid w:val="4108179E"/>
    <w:rsid w:val="41351411"/>
    <w:rsid w:val="41CC07C5"/>
    <w:rsid w:val="41D22ADE"/>
    <w:rsid w:val="41D2466D"/>
    <w:rsid w:val="41F87BCB"/>
    <w:rsid w:val="420D7E11"/>
    <w:rsid w:val="421F738E"/>
    <w:rsid w:val="42C96C00"/>
    <w:rsid w:val="42D04C83"/>
    <w:rsid w:val="42E2243E"/>
    <w:rsid w:val="43160791"/>
    <w:rsid w:val="43860D47"/>
    <w:rsid w:val="438F6905"/>
    <w:rsid w:val="43BB4438"/>
    <w:rsid w:val="45B32E6A"/>
    <w:rsid w:val="45DB35CC"/>
    <w:rsid w:val="45E46428"/>
    <w:rsid w:val="46D04AA9"/>
    <w:rsid w:val="476A10AC"/>
    <w:rsid w:val="47A30A6A"/>
    <w:rsid w:val="483B475D"/>
    <w:rsid w:val="49245242"/>
    <w:rsid w:val="496438D9"/>
    <w:rsid w:val="49D40A5E"/>
    <w:rsid w:val="49FC15C4"/>
    <w:rsid w:val="4AA728AD"/>
    <w:rsid w:val="4AD04784"/>
    <w:rsid w:val="4AE82E7C"/>
    <w:rsid w:val="4AF40F4F"/>
    <w:rsid w:val="4B31481A"/>
    <w:rsid w:val="4B683CC5"/>
    <w:rsid w:val="4B8F6196"/>
    <w:rsid w:val="4BB87F0C"/>
    <w:rsid w:val="4C16653A"/>
    <w:rsid w:val="4CDF755D"/>
    <w:rsid w:val="4D3436D2"/>
    <w:rsid w:val="4D655F0C"/>
    <w:rsid w:val="4D9E7E8D"/>
    <w:rsid w:val="4D9F3DF1"/>
    <w:rsid w:val="4DC9668B"/>
    <w:rsid w:val="4E0437D4"/>
    <w:rsid w:val="4E8963A3"/>
    <w:rsid w:val="4EA94367"/>
    <w:rsid w:val="4EC70B92"/>
    <w:rsid w:val="4ED746C6"/>
    <w:rsid w:val="4EE27525"/>
    <w:rsid w:val="4EF9596A"/>
    <w:rsid w:val="4F1B7959"/>
    <w:rsid w:val="4F5C2F8F"/>
    <w:rsid w:val="50015499"/>
    <w:rsid w:val="5007085B"/>
    <w:rsid w:val="5012388C"/>
    <w:rsid w:val="50177A28"/>
    <w:rsid w:val="504558DB"/>
    <w:rsid w:val="505740B9"/>
    <w:rsid w:val="505C2852"/>
    <w:rsid w:val="51991A9C"/>
    <w:rsid w:val="521E3449"/>
    <w:rsid w:val="530D265C"/>
    <w:rsid w:val="53D94410"/>
    <w:rsid w:val="54352A41"/>
    <w:rsid w:val="54595FA3"/>
    <w:rsid w:val="54724B97"/>
    <w:rsid w:val="54AF08FE"/>
    <w:rsid w:val="54E816F5"/>
    <w:rsid w:val="55610B34"/>
    <w:rsid w:val="56150359"/>
    <w:rsid w:val="561F369F"/>
    <w:rsid w:val="57D3473C"/>
    <w:rsid w:val="586551DE"/>
    <w:rsid w:val="58F242ED"/>
    <w:rsid w:val="590D7AE9"/>
    <w:rsid w:val="5926209A"/>
    <w:rsid w:val="59710078"/>
    <w:rsid w:val="5AF8090C"/>
    <w:rsid w:val="5B5264E5"/>
    <w:rsid w:val="5C5864A9"/>
    <w:rsid w:val="5C653D22"/>
    <w:rsid w:val="5D350B78"/>
    <w:rsid w:val="5DA01578"/>
    <w:rsid w:val="5E373AE7"/>
    <w:rsid w:val="5E600ADA"/>
    <w:rsid w:val="5E720CA2"/>
    <w:rsid w:val="5EF86DE5"/>
    <w:rsid w:val="5F7D18C0"/>
    <w:rsid w:val="5FA322FC"/>
    <w:rsid w:val="5FDA449D"/>
    <w:rsid w:val="5FEA4B58"/>
    <w:rsid w:val="60F96FD8"/>
    <w:rsid w:val="6101001B"/>
    <w:rsid w:val="61331C5A"/>
    <w:rsid w:val="615D3E3F"/>
    <w:rsid w:val="61800B94"/>
    <w:rsid w:val="626B1286"/>
    <w:rsid w:val="62EF6807"/>
    <w:rsid w:val="639B3B30"/>
    <w:rsid w:val="63BE175C"/>
    <w:rsid w:val="64584252"/>
    <w:rsid w:val="64CC1A6B"/>
    <w:rsid w:val="64DD4F2B"/>
    <w:rsid w:val="64EB596C"/>
    <w:rsid w:val="64F02128"/>
    <w:rsid w:val="65646CE3"/>
    <w:rsid w:val="659876DE"/>
    <w:rsid w:val="65BF3655"/>
    <w:rsid w:val="65CA2079"/>
    <w:rsid w:val="66327DBB"/>
    <w:rsid w:val="66DC0AFB"/>
    <w:rsid w:val="66E57697"/>
    <w:rsid w:val="671F4E6B"/>
    <w:rsid w:val="674202F5"/>
    <w:rsid w:val="67576912"/>
    <w:rsid w:val="6814614D"/>
    <w:rsid w:val="681E63F5"/>
    <w:rsid w:val="68D66F37"/>
    <w:rsid w:val="69075AE0"/>
    <w:rsid w:val="691E534D"/>
    <w:rsid w:val="69922B7C"/>
    <w:rsid w:val="69A30390"/>
    <w:rsid w:val="6ADD265D"/>
    <w:rsid w:val="6B8B255C"/>
    <w:rsid w:val="6BF30E2D"/>
    <w:rsid w:val="6C353187"/>
    <w:rsid w:val="6CCD7699"/>
    <w:rsid w:val="6CFB7217"/>
    <w:rsid w:val="6D4128F0"/>
    <w:rsid w:val="6D8A0B50"/>
    <w:rsid w:val="6F1E43A6"/>
    <w:rsid w:val="6F983CF8"/>
    <w:rsid w:val="703B205D"/>
    <w:rsid w:val="70BF09AB"/>
    <w:rsid w:val="7159580F"/>
    <w:rsid w:val="72641F69"/>
    <w:rsid w:val="73161399"/>
    <w:rsid w:val="739F6306"/>
    <w:rsid w:val="73AC6754"/>
    <w:rsid w:val="740857E9"/>
    <w:rsid w:val="74925676"/>
    <w:rsid w:val="75166D0E"/>
    <w:rsid w:val="754615B0"/>
    <w:rsid w:val="75811503"/>
    <w:rsid w:val="75992A50"/>
    <w:rsid w:val="75DA3098"/>
    <w:rsid w:val="76210C27"/>
    <w:rsid w:val="76876CD5"/>
    <w:rsid w:val="76B65452"/>
    <w:rsid w:val="76D74BBF"/>
    <w:rsid w:val="76E17179"/>
    <w:rsid w:val="780A11FC"/>
    <w:rsid w:val="78793FC0"/>
    <w:rsid w:val="792D187D"/>
    <w:rsid w:val="793F67A8"/>
    <w:rsid w:val="7A490D3F"/>
    <w:rsid w:val="7A7F116F"/>
    <w:rsid w:val="7AA20A77"/>
    <w:rsid w:val="7AD95837"/>
    <w:rsid w:val="7B1B6A97"/>
    <w:rsid w:val="7B9D691C"/>
    <w:rsid w:val="7B9F2DA0"/>
    <w:rsid w:val="7BDC3DDF"/>
    <w:rsid w:val="7BFA0C7C"/>
    <w:rsid w:val="7C2C67C8"/>
    <w:rsid w:val="7C38005C"/>
    <w:rsid w:val="7C5A6A0B"/>
    <w:rsid w:val="7C5B2CA6"/>
    <w:rsid w:val="7CB1055D"/>
    <w:rsid w:val="7CD66A87"/>
    <w:rsid w:val="7CDC1A47"/>
    <w:rsid w:val="7CE359F9"/>
    <w:rsid w:val="7D0132B9"/>
    <w:rsid w:val="7D326866"/>
    <w:rsid w:val="7D4A1E4C"/>
    <w:rsid w:val="7DA778CF"/>
    <w:rsid w:val="7E924469"/>
    <w:rsid w:val="7F5A39D9"/>
    <w:rsid w:val="7F7F734B"/>
    <w:rsid w:val="7FC20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7">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8">
    <w:name w:val="heading 2"/>
    <w:basedOn w:val="1"/>
    <w:next w:val="1"/>
    <w:link w:val="4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9">
    <w:name w:val="heading 3"/>
    <w:basedOn w:val="1"/>
    <w:next w:val="1"/>
    <w:unhideWhenUsed/>
    <w:qFormat/>
    <w:uiPriority w:val="9"/>
    <w:pPr>
      <w:keepNext/>
      <w:keepLines/>
      <w:spacing w:line="360" w:lineRule="auto"/>
      <w:outlineLvl w:val="2"/>
    </w:pPr>
    <w:rPr>
      <w:rFonts w:ascii="Times New Roman" w:hAnsi="Times New Roman" w:eastAsia="宋体" w:cs="仿宋"/>
      <w:b/>
      <w:bCs/>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71"/>
    <w:semiHidden/>
    <w:unhideWhenUsed/>
    <w:qFormat/>
    <w:uiPriority w:val="99"/>
    <w:pPr>
      <w:ind w:left="200" w:leftChars="200" w:firstLine="420" w:firstLineChars="200"/>
    </w:pPr>
    <w:rPr>
      <w:rFonts w:asciiTheme="minorHAnsi" w:hAnsiTheme="minorHAnsi" w:eastAsiaTheme="minorEastAsia" w:cstheme="minorBidi"/>
      <w:szCs w:val="22"/>
    </w:rPr>
  </w:style>
  <w:style w:type="paragraph" w:styleId="3">
    <w:name w:val="Body Text Indent"/>
    <w:basedOn w:val="1"/>
    <w:next w:val="4"/>
    <w:link w:val="51"/>
    <w:qFormat/>
    <w:uiPriority w:val="0"/>
    <w:pPr>
      <w:spacing w:after="120"/>
      <w:ind w:left="420"/>
    </w:pPr>
    <w:rPr>
      <w:rFonts w:ascii="Times New Roman" w:hAnsi="Times New Roman" w:eastAsia="宋体" w:cs="Times New Roman"/>
      <w:szCs w:val="20"/>
    </w:rPr>
  </w:style>
  <w:style w:type="paragraph" w:customStyle="1" w:styleId="4">
    <w:name w:val="样式 正文文本缩进 + 行距: 1.5 倍行距"/>
    <w:basedOn w:val="5"/>
    <w:next w:val="1"/>
    <w:qFormat/>
    <w:uiPriority w:val="0"/>
    <w:pPr>
      <w:spacing w:after="120"/>
      <w:ind w:left="90" w:leftChars="32" w:firstLine="560" w:firstLineChars="200"/>
      <w:jc w:val="both"/>
    </w:pPr>
    <w:rPr>
      <w:rFonts w:cs="宋体"/>
      <w:spacing w:val="0"/>
      <w:sz w:val="24"/>
    </w:rPr>
  </w:style>
  <w:style w:type="paragraph" w:customStyle="1" w:styleId="5">
    <w:name w:val="Body Text Indent"/>
    <w:basedOn w:val="6"/>
    <w:next w:val="4"/>
    <w:qFormat/>
    <w:uiPriority w:val="0"/>
    <w:pPr>
      <w:spacing w:after="120" w:afterLines="0"/>
      <w:ind w:left="420" w:leftChars="200"/>
    </w:pPr>
    <w:rPr>
      <w:rFonts w:ascii="Times New Roman" w:hAnsi="Times New Roman" w:eastAsia="宋体"/>
      <w:sz w:val="24"/>
    </w:rPr>
  </w:style>
  <w:style w:type="paragraph" w:customStyle="1" w:styleId="6">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annotation text"/>
    <w:basedOn w:val="1"/>
    <w:link w:val="65"/>
    <w:unhideWhenUsed/>
    <w:qFormat/>
    <w:uiPriority w:val="99"/>
    <w:pPr>
      <w:jc w:val="left"/>
    </w:pPr>
  </w:style>
  <w:style w:type="paragraph" w:styleId="13">
    <w:name w:val="Body Text"/>
    <w:basedOn w:val="1"/>
    <w:link w:val="56"/>
    <w:semiHidden/>
    <w:unhideWhenUsed/>
    <w:qFormat/>
    <w:uiPriority w:val="99"/>
    <w:pPr>
      <w:spacing w:after="120"/>
    </w:pPr>
  </w:style>
  <w:style w:type="paragraph" w:styleId="14">
    <w:name w:val="toc 3"/>
    <w:basedOn w:val="1"/>
    <w:next w:val="1"/>
    <w:unhideWhenUsed/>
    <w:qFormat/>
    <w:uiPriority w:val="39"/>
    <w:pPr>
      <w:ind w:left="840" w:leftChars="400"/>
    </w:pPr>
  </w:style>
  <w:style w:type="paragraph" w:styleId="15">
    <w:name w:val="Plain Text"/>
    <w:basedOn w:val="1"/>
    <w:link w:val="59"/>
    <w:qFormat/>
    <w:uiPriority w:val="0"/>
    <w:rPr>
      <w:rFonts w:eastAsia="方正书宋简体"/>
      <w:sz w:val="28"/>
    </w:rPr>
  </w:style>
  <w:style w:type="paragraph" w:styleId="16">
    <w:name w:val="List Bullet 5"/>
    <w:basedOn w:val="1"/>
    <w:semiHidden/>
    <w:unhideWhenUsed/>
    <w:qFormat/>
    <w:uiPriority w:val="99"/>
    <w:pPr>
      <w:numPr>
        <w:ilvl w:val="0"/>
        <w:numId w:val="1"/>
      </w:numPr>
    </w:pPr>
  </w:style>
  <w:style w:type="paragraph" w:styleId="17">
    <w:name w:val="Body Text Indent 2"/>
    <w:basedOn w:val="1"/>
    <w:next w:val="18"/>
    <w:link w:val="61"/>
    <w:qFormat/>
    <w:uiPriority w:val="0"/>
    <w:pPr>
      <w:spacing w:after="120" w:line="480" w:lineRule="auto"/>
      <w:ind w:left="420" w:leftChars="200"/>
    </w:pPr>
    <w:rPr>
      <w:rFonts w:ascii="Times New Roman" w:hAnsi="Times New Roman" w:eastAsia="宋体" w:cs="Times New Roman"/>
      <w:szCs w:val="24"/>
    </w:rPr>
  </w:style>
  <w:style w:type="paragraph" w:customStyle="1" w:styleId="18">
    <w:name w:val="reader-word-layer reader-word-s46-2"/>
    <w:basedOn w:val="1"/>
    <w:next w:val="19"/>
    <w:qFormat/>
    <w:uiPriority w:val="0"/>
    <w:pPr>
      <w:widowControl/>
      <w:spacing w:before="100" w:beforeAutospacing="1" w:after="100" w:afterAutospacing="1"/>
      <w:jc w:val="left"/>
    </w:pPr>
    <w:rPr>
      <w:rFonts w:ascii="宋体" w:hAnsi="宋体" w:cs="宋体"/>
      <w:kern w:val="0"/>
      <w:sz w:val="24"/>
      <w:szCs w:val="24"/>
    </w:rPr>
  </w:style>
  <w:style w:type="paragraph" w:customStyle="1" w:styleId="19">
    <w:name w:val="xl35"/>
    <w:basedOn w:val="1"/>
    <w:next w:val="1"/>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styleId="20">
    <w:name w:val="Balloon Text"/>
    <w:basedOn w:val="1"/>
    <w:link w:val="55"/>
    <w:semiHidden/>
    <w:unhideWhenUsed/>
    <w:qFormat/>
    <w:uiPriority w:val="99"/>
    <w:rPr>
      <w:sz w:val="18"/>
      <w:szCs w:val="18"/>
    </w:rPr>
  </w:style>
  <w:style w:type="paragraph" w:styleId="21">
    <w:name w:val="footer"/>
    <w:basedOn w:val="1"/>
    <w:link w:val="49"/>
    <w:unhideWhenUsed/>
    <w:qFormat/>
    <w:uiPriority w:val="99"/>
    <w:pPr>
      <w:tabs>
        <w:tab w:val="center" w:pos="4153"/>
        <w:tab w:val="right" w:pos="8306"/>
      </w:tabs>
      <w:snapToGrid w:val="0"/>
      <w:jc w:val="left"/>
    </w:pPr>
    <w:rPr>
      <w:sz w:val="18"/>
      <w:szCs w:val="18"/>
    </w:rPr>
  </w:style>
  <w:style w:type="paragraph" w:styleId="22">
    <w:name w:val="header"/>
    <w:basedOn w:val="1"/>
    <w:next w:val="23"/>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3">
    <w:name w:val="样式5"/>
    <w:basedOn w:val="13"/>
    <w:qFormat/>
    <w:uiPriority w:val="0"/>
    <w:pPr>
      <w:snapToGrid w:val="0"/>
      <w:spacing w:before="62" w:beforeLines="20" w:after="62" w:afterLines="20" w:line="480" w:lineRule="exact"/>
      <w:ind w:firstLine="523" w:firstLineChars="218"/>
      <w:jc w:val="both"/>
    </w:pPr>
    <w:rPr>
      <w:i/>
      <w:iCs/>
      <w:kern w:val="2"/>
      <w:sz w:val="24"/>
      <w:szCs w:val="20"/>
    </w:rPr>
  </w:style>
  <w:style w:type="paragraph" w:styleId="24">
    <w:name w:val="toc 1"/>
    <w:basedOn w:val="1"/>
    <w:next w:val="1"/>
    <w:unhideWhenUsed/>
    <w:qFormat/>
    <w:uiPriority w:val="39"/>
  </w:style>
  <w:style w:type="paragraph" w:styleId="25">
    <w:name w:val="toc 4"/>
    <w:basedOn w:val="1"/>
    <w:next w:val="1"/>
    <w:qFormat/>
    <w:uiPriority w:val="0"/>
    <w:pPr>
      <w:ind w:left="630"/>
      <w:jc w:val="left"/>
    </w:pPr>
    <w:rPr>
      <w:sz w:val="18"/>
      <w:szCs w:val="18"/>
    </w:rPr>
  </w:style>
  <w:style w:type="paragraph" w:styleId="26">
    <w:name w:val="index heading"/>
    <w:basedOn w:val="1"/>
    <w:next w:val="27"/>
    <w:semiHidden/>
    <w:qFormat/>
    <w:uiPriority w:val="0"/>
    <w:rPr>
      <w:rFonts w:ascii="Arial" w:hAnsi="Arial" w:cs="Arial"/>
      <w:b/>
      <w:bCs/>
    </w:rPr>
  </w:style>
  <w:style w:type="paragraph" w:styleId="27">
    <w:name w:val="index 1"/>
    <w:basedOn w:val="1"/>
    <w:next w:val="1"/>
    <w:qFormat/>
    <w:uiPriority w:val="0"/>
    <w:pPr>
      <w:tabs>
        <w:tab w:val="left" w:pos="5580"/>
      </w:tabs>
      <w:spacing w:line="280" w:lineRule="exact"/>
    </w:pPr>
    <w:rPr>
      <w:rFonts w:ascii="宋体" w:hAnsi="宋体"/>
      <w:spacing w:val="10"/>
    </w:rPr>
  </w:style>
  <w:style w:type="paragraph" w:styleId="28">
    <w:name w:val="table of figures"/>
    <w:basedOn w:val="1"/>
    <w:next w:val="1"/>
    <w:qFormat/>
    <w:uiPriority w:val="0"/>
    <w:pPr>
      <w:spacing w:line="500" w:lineRule="atLeast"/>
      <w:jc w:val="center"/>
    </w:pPr>
    <w:rPr>
      <w:rFonts w:hint="eastAsia" w:ascii="仿宋_GB2312" w:hAnsi="Times New Roman" w:eastAsia="仿宋_GB2312"/>
      <w:kern w:val="2"/>
      <w:sz w:val="28"/>
      <w:szCs w:val="24"/>
    </w:rPr>
  </w:style>
  <w:style w:type="paragraph" w:styleId="29">
    <w:name w:val="toc 2"/>
    <w:basedOn w:val="1"/>
    <w:next w:val="1"/>
    <w:unhideWhenUsed/>
    <w:qFormat/>
    <w:uiPriority w:val="39"/>
    <w:pPr>
      <w:ind w:left="420" w:leftChars="200"/>
    </w:pPr>
  </w:style>
  <w:style w:type="paragraph" w:styleId="30">
    <w:name w:val="Normal (Web)"/>
    <w:basedOn w:val="1"/>
    <w:qFormat/>
    <w:uiPriority w:val="0"/>
    <w:pPr>
      <w:widowControl/>
      <w:spacing w:before="100" w:beforeAutospacing="1" w:after="100" w:afterAutospacing="1"/>
      <w:jc w:val="left"/>
    </w:pPr>
    <w:rPr>
      <w:rFonts w:ascii="宋体" w:hAnsi="宋体"/>
      <w:kern w:val="0"/>
      <w:sz w:val="24"/>
    </w:rPr>
  </w:style>
  <w:style w:type="paragraph" w:styleId="31">
    <w:name w:val="annotation subject"/>
    <w:basedOn w:val="12"/>
    <w:next w:val="12"/>
    <w:link w:val="72"/>
    <w:semiHidden/>
    <w:unhideWhenUsed/>
    <w:qFormat/>
    <w:uiPriority w:val="99"/>
    <w:rPr>
      <w:b/>
      <w:bCs/>
    </w:rPr>
  </w:style>
  <w:style w:type="paragraph" w:styleId="32">
    <w:name w:val="Body Text First Indent"/>
    <w:basedOn w:val="13"/>
    <w:next w:val="28"/>
    <w:link w:val="57"/>
    <w:semiHidden/>
    <w:unhideWhenUsed/>
    <w:qFormat/>
    <w:uiPriority w:val="99"/>
    <w:pPr>
      <w:ind w:firstLine="420" w:firstLineChars="100"/>
    </w:pPr>
  </w:style>
  <w:style w:type="table" w:styleId="34">
    <w:name w:val="Table Grid"/>
    <w:basedOn w:val="33"/>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6">
    <w:name w:val="Strong"/>
    <w:basedOn w:val="35"/>
    <w:qFormat/>
    <w:uiPriority w:val="22"/>
    <w:rPr>
      <w:b/>
      <w:bCs/>
    </w:rPr>
  </w:style>
  <w:style w:type="character" w:styleId="37">
    <w:name w:val="page number"/>
    <w:basedOn w:val="35"/>
    <w:qFormat/>
    <w:uiPriority w:val="0"/>
  </w:style>
  <w:style w:type="character" w:styleId="38">
    <w:name w:val="Hyperlink"/>
    <w:basedOn w:val="35"/>
    <w:unhideWhenUsed/>
    <w:qFormat/>
    <w:uiPriority w:val="99"/>
    <w:rPr>
      <w:color w:val="0000FF"/>
      <w:u w:val="single"/>
    </w:rPr>
  </w:style>
  <w:style w:type="character" w:styleId="39">
    <w:name w:val="annotation reference"/>
    <w:basedOn w:val="35"/>
    <w:semiHidden/>
    <w:unhideWhenUsed/>
    <w:qFormat/>
    <w:uiPriority w:val="99"/>
    <w:rPr>
      <w:sz w:val="21"/>
      <w:szCs w:val="21"/>
    </w:rPr>
  </w:style>
  <w:style w:type="character" w:customStyle="1" w:styleId="40">
    <w:name w:val="标题 1 字符"/>
    <w:basedOn w:val="35"/>
    <w:link w:val="7"/>
    <w:qFormat/>
    <w:uiPriority w:val="9"/>
    <w:rPr>
      <w:b/>
      <w:bCs/>
      <w:kern w:val="44"/>
      <w:sz w:val="44"/>
      <w:szCs w:val="44"/>
    </w:rPr>
  </w:style>
  <w:style w:type="paragraph" w:customStyle="1" w:styleId="41">
    <w:name w:val="正文1"/>
    <w:basedOn w:val="13"/>
    <w:next w:val="1"/>
    <w:qFormat/>
    <w:uiPriority w:val="0"/>
    <w:pPr>
      <w:widowControl w:val="0"/>
      <w:suppressAutoHyphens/>
      <w:spacing w:line="520" w:lineRule="atLeast"/>
      <w:ind w:firstLine="680"/>
      <w:jc w:val="both"/>
    </w:pPr>
    <w:rPr>
      <w:rFonts w:eastAsia="方正楷体简体"/>
      <w:spacing w:val="18"/>
      <w:sz w:val="32"/>
      <w:lang w:val="en-US" w:eastAsia="zh-CN" w:bidi="ar-SA"/>
    </w:rPr>
  </w:style>
  <w:style w:type="paragraph" w:customStyle="1" w:styleId="42">
    <w:name w:val="正文11"/>
    <w:basedOn w:val="1"/>
    <w:qFormat/>
    <w:uiPriority w:val="0"/>
    <w:pPr>
      <w:adjustRightInd w:val="0"/>
      <w:snapToGrid w:val="0"/>
      <w:spacing w:line="360" w:lineRule="auto"/>
      <w:ind w:firstLine="420" w:firstLineChars="200"/>
    </w:pPr>
    <w:rPr>
      <w:color w:val="000000"/>
      <w:sz w:val="24"/>
    </w:rPr>
  </w:style>
  <w:style w:type="paragraph" w:customStyle="1" w:styleId="43">
    <w:name w:val="正文文本缩进1"/>
    <w:basedOn w:val="1"/>
    <w:next w:val="4"/>
    <w:qFormat/>
    <w:uiPriority w:val="0"/>
    <w:pPr>
      <w:spacing w:after="120"/>
      <w:ind w:left="420" w:leftChars="200"/>
    </w:pPr>
    <w:rPr>
      <w:sz w:val="24"/>
    </w:rPr>
  </w:style>
  <w:style w:type="paragraph" w:customStyle="1" w:styleId="44">
    <w:name w:val="样式 样式 样式 四号 左侧:  1.53 厘米 + 首行缩进:  2 字符 + 居中 左侧:  2 字符 首行缩进:  2..."/>
    <w:basedOn w:val="45"/>
    <w:qFormat/>
    <w:uiPriority w:val="0"/>
    <w:pPr>
      <w:ind w:firstLine="0" w:firstLineChars="0"/>
      <w:jc w:val="center"/>
    </w:pPr>
  </w:style>
  <w:style w:type="paragraph" w:customStyle="1" w:styleId="45">
    <w:name w:val="样式 样式 四号 左侧:  1.53 厘米 + 首行缩进:  2 字符"/>
    <w:basedOn w:val="46"/>
    <w:qFormat/>
    <w:uiPriority w:val="0"/>
    <w:pPr>
      <w:ind w:left="200" w:leftChars="200"/>
    </w:pPr>
    <w:rPr>
      <w:szCs w:val="20"/>
    </w:rPr>
  </w:style>
  <w:style w:type="paragraph" w:customStyle="1" w:styleId="46">
    <w:name w:val="样式 四号 左侧:  1.53 厘米"/>
    <w:basedOn w:val="1"/>
    <w:qFormat/>
    <w:uiPriority w:val="0"/>
    <w:pPr>
      <w:adjustRightInd w:val="0"/>
    </w:pPr>
    <w:rPr>
      <w:w w:val="90"/>
      <w:sz w:val="28"/>
      <w:szCs w:val="28"/>
    </w:rPr>
  </w:style>
  <w:style w:type="character" w:customStyle="1" w:styleId="47">
    <w:name w:val="标题 2 字符"/>
    <w:basedOn w:val="35"/>
    <w:link w:val="8"/>
    <w:qFormat/>
    <w:uiPriority w:val="0"/>
    <w:rPr>
      <w:rFonts w:asciiTheme="majorHAnsi" w:hAnsiTheme="majorHAnsi" w:eastAsiaTheme="majorEastAsia" w:cstheme="majorBidi"/>
      <w:b/>
      <w:bCs/>
      <w:kern w:val="2"/>
      <w:sz w:val="32"/>
      <w:szCs w:val="32"/>
    </w:rPr>
  </w:style>
  <w:style w:type="character" w:customStyle="1" w:styleId="48">
    <w:name w:val="页眉 字符"/>
    <w:basedOn w:val="35"/>
    <w:link w:val="22"/>
    <w:qFormat/>
    <w:uiPriority w:val="99"/>
    <w:rPr>
      <w:sz w:val="18"/>
      <w:szCs w:val="18"/>
    </w:rPr>
  </w:style>
  <w:style w:type="character" w:customStyle="1" w:styleId="49">
    <w:name w:val="页脚 字符"/>
    <w:basedOn w:val="35"/>
    <w:link w:val="21"/>
    <w:qFormat/>
    <w:uiPriority w:val="99"/>
    <w:rPr>
      <w:sz w:val="18"/>
      <w:szCs w:val="18"/>
    </w:rPr>
  </w:style>
  <w:style w:type="paragraph" w:styleId="50">
    <w:name w:val="List Paragraph"/>
    <w:basedOn w:val="1"/>
    <w:qFormat/>
    <w:uiPriority w:val="99"/>
    <w:pPr>
      <w:ind w:firstLine="420" w:firstLineChars="200"/>
    </w:pPr>
  </w:style>
  <w:style w:type="character" w:customStyle="1" w:styleId="51">
    <w:name w:val="正文文本缩进 字符"/>
    <w:basedOn w:val="35"/>
    <w:link w:val="3"/>
    <w:qFormat/>
    <w:uiPriority w:val="0"/>
    <w:rPr>
      <w:rFonts w:ascii="Times New Roman" w:hAnsi="Times New Roman" w:eastAsia="宋体" w:cs="Times New Roman"/>
      <w:szCs w:val="20"/>
    </w:rPr>
  </w:style>
  <w:style w:type="paragraph" w:customStyle="1" w:styleId="52">
    <w:name w:val="表格"/>
    <w:basedOn w:val="1"/>
    <w:next w:val="1"/>
    <w:qFormat/>
    <w:uiPriority w:val="0"/>
    <w:pPr>
      <w:spacing w:line="240" w:lineRule="atLeast"/>
    </w:pPr>
    <w:rPr>
      <w:rFonts w:ascii="宋体" w:hAnsi="宋体" w:eastAsia="宋体" w:cs="Times New Roman"/>
      <w:sz w:val="24"/>
      <w:szCs w:val="24"/>
    </w:rPr>
  </w:style>
  <w:style w:type="paragraph" w:customStyle="1" w:styleId="53">
    <w:name w:val="Table Paragraph"/>
    <w:basedOn w:val="1"/>
    <w:qFormat/>
    <w:uiPriority w:val="1"/>
    <w:rPr>
      <w:rFonts w:ascii="Times New Roman" w:hAnsi="Times New Roman" w:eastAsia="宋体" w:cs="Times New Roman"/>
      <w:szCs w:val="20"/>
    </w:rPr>
  </w:style>
  <w:style w:type="paragraph" w:customStyle="1" w:styleId="54">
    <w:name w:val="TOC 标题1"/>
    <w:basedOn w:val="7"/>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批注框文本 字符"/>
    <w:basedOn w:val="35"/>
    <w:link w:val="20"/>
    <w:semiHidden/>
    <w:qFormat/>
    <w:uiPriority w:val="99"/>
    <w:rPr>
      <w:sz w:val="18"/>
      <w:szCs w:val="18"/>
    </w:rPr>
  </w:style>
  <w:style w:type="character" w:customStyle="1" w:styleId="56">
    <w:name w:val="正文文本 字符"/>
    <w:basedOn w:val="35"/>
    <w:link w:val="13"/>
    <w:semiHidden/>
    <w:qFormat/>
    <w:uiPriority w:val="99"/>
  </w:style>
  <w:style w:type="character" w:customStyle="1" w:styleId="57">
    <w:name w:val="正文文本首行缩进 字符"/>
    <w:basedOn w:val="56"/>
    <w:link w:val="32"/>
    <w:semiHidden/>
    <w:qFormat/>
    <w:uiPriority w:val="99"/>
  </w:style>
  <w:style w:type="character" w:customStyle="1" w:styleId="58">
    <w:name w:val="font21"/>
    <w:qFormat/>
    <w:uiPriority w:val="0"/>
    <w:rPr>
      <w:rFonts w:ascii="宋体" w:eastAsia="宋体"/>
      <w:color w:val="000000"/>
      <w:sz w:val="21"/>
      <w:szCs w:val="21"/>
      <w:u w:val="none"/>
    </w:rPr>
  </w:style>
  <w:style w:type="character" w:customStyle="1" w:styleId="59">
    <w:name w:val="纯文本 字符"/>
    <w:link w:val="15"/>
    <w:qFormat/>
    <w:uiPriority w:val="0"/>
    <w:rPr>
      <w:rFonts w:eastAsia="方正书宋简体"/>
      <w:sz w:val="28"/>
    </w:rPr>
  </w:style>
  <w:style w:type="character" w:customStyle="1" w:styleId="60">
    <w:name w:val="纯文本 字符1"/>
    <w:basedOn w:val="35"/>
    <w:semiHidden/>
    <w:qFormat/>
    <w:uiPriority w:val="99"/>
    <w:rPr>
      <w:rFonts w:hAnsi="Courier New" w:cs="Courier New" w:asciiTheme="minorEastAsia"/>
    </w:rPr>
  </w:style>
  <w:style w:type="character" w:customStyle="1" w:styleId="61">
    <w:name w:val="正文文本缩进 2 字符"/>
    <w:basedOn w:val="35"/>
    <w:link w:val="17"/>
    <w:qFormat/>
    <w:uiPriority w:val="0"/>
    <w:rPr>
      <w:kern w:val="2"/>
      <w:sz w:val="21"/>
      <w:szCs w:val="24"/>
    </w:rPr>
  </w:style>
  <w:style w:type="character" w:customStyle="1" w:styleId="62">
    <w:name w:val="正文文本缩进 2 Char1"/>
    <w:basedOn w:val="35"/>
    <w:semiHidden/>
    <w:qFormat/>
    <w:uiPriority w:val="99"/>
    <w:rPr>
      <w:rFonts w:asciiTheme="minorHAnsi" w:hAnsiTheme="minorHAnsi" w:eastAsiaTheme="minorEastAsia" w:cstheme="minorBidi"/>
      <w:kern w:val="2"/>
      <w:sz w:val="21"/>
      <w:szCs w:val="22"/>
    </w:rPr>
  </w:style>
  <w:style w:type="paragraph" w:customStyle="1" w:styleId="63">
    <w:name w:val="样式 标题 2 + 楷体_GB2312 四号 段前: 0 磅 段后: 0 磅 行距: 1.5 倍行距"/>
    <w:basedOn w:val="8"/>
    <w:qFormat/>
    <w:uiPriority w:val="0"/>
    <w:pPr>
      <w:spacing w:beforeLines="50" w:after="0" w:line="360" w:lineRule="auto"/>
    </w:pPr>
    <w:rPr>
      <w:rFonts w:ascii="楷体_GB2312" w:hAnsi="楷体_GB2312" w:eastAsia="楷体_GB2312" w:cs="宋体"/>
      <w:sz w:val="28"/>
      <w:szCs w:val="20"/>
    </w:rPr>
  </w:style>
  <w:style w:type="paragraph" w:customStyle="1" w:styleId="64">
    <w:name w:val="陈光的正文"/>
    <w:basedOn w:val="1"/>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65">
    <w:name w:val="批注文字 字符"/>
    <w:basedOn w:val="35"/>
    <w:link w:val="12"/>
    <w:semiHidden/>
    <w:qFormat/>
    <w:uiPriority w:val="99"/>
    <w:rPr>
      <w:rFonts w:asciiTheme="minorHAnsi" w:hAnsiTheme="minorHAnsi" w:eastAsiaTheme="minorEastAsia" w:cstheme="minorBidi"/>
      <w:kern w:val="2"/>
      <w:sz w:val="21"/>
      <w:szCs w:val="22"/>
    </w:rPr>
  </w:style>
  <w:style w:type="character" w:customStyle="1" w:styleId="66">
    <w:name w:val="li_正文 Char Char Char Char"/>
    <w:link w:val="67"/>
    <w:qFormat/>
    <w:uiPriority w:val="0"/>
    <w:rPr>
      <w:kern w:val="2"/>
      <w:sz w:val="28"/>
      <w:szCs w:val="28"/>
    </w:rPr>
  </w:style>
  <w:style w:type="paragraph" w:customStyle="1" w:styleId="67">
    <w:name w:val="li_正文 Char"/>
    <w:basedOn w:val="1"/>
    <w:link w:val="66"/>
    <w:qFormat/>
    <w:uiPriority w:val="0"/>
    <w:pPr>
      <w:ind w:firstLine="200" w:firstLineChars="200"/>
      <w:jc w:val="left"/>
    </w:pPr>
    <w:rPr>
      <w:rFonts w:ascii="Times New Roman" w:hAnsi="Times New Roman" w:eastAsia="宋体" w:cs="Times New Roman"/>
      <w:sz w:val="28"/>
      <w:szCs w:val="28"/>
    </w:rPr>
  </w:style>
  <w:style w:type="paragraph" w:customStyle="1" w:styleId="68">
    <w:name w:val="正文文本 21"/>
    <w:basedOn w:val="1"/>
    <w:qFormat/>
    <w:uiPriority w:val="0"/>
    <w:pPr>
      <w:autoSpaceDE w:val="0"/>
      <w:autoSpaceDN w:val="0"/>
      <w:adjustRightInd w:val="0"/>
      <w:spacing w:line="480" w:lineRule="atLeast"/>
      <w:ind w:firstLine="570"/>
    </w:pPr>
    <w:rPr>
      <w:rFonts w:ascii="宋体" w:hAnsi="Times New Roman" w:eastAsia="宋体" w:cs="宋体"/>
      <w:kern w:val="0"/>
      <w:sz w:val="28"/>
      <w:szCs w:val="28"/>
    </w:rPr>
  </w:style>
  <w:style w:type="character" w:customStyle="1" w:styleId="69">
    <w:name w:val="表头 Char"/>
    <w:link w:val="70"/>
    <w:qFormat/>
    <w:uiPriority w:val="0"/>
    <w:rPr>
      <w:rFonts w:ascii="黑体" w:eastAsia="黑体"/>
      <w:sz w:val="24"/>
      <w:szCs w:val="24"/>
      <w:lang w:val="de-DE"/>
    </w:rPr>
  </w:style>
  <w:style w:type="paragraph" w:customStyle="1" w:styleId="70">
    <w:name w:val="表头"/>
    <w:basedOn w:val="1"/>
    <w:next w:val="1"/>
    <w:link w:val="69"/>
    <w:qFormat/>
    <w:uiPriority w:val="0"/>
    <w:pPr>
      <w:spacing w:line="500" w:lineRule="exact"/>
      <w:jc w:val="center"/>
    </w:pPr>
    <w:rPr>
      <w:rFonts w:ascii="黑体" w:hAnsi="Times New Roman" w:eastAsia="黑体" w:cs="Times New Roman"/>
      <w:kern w:val="0"/>
      <w:sz w:val="24"/>
      <w:szCs w:val="24"/>
      <w:lang w:val="de-DE"/>
    </w:rPr>
  </w:style>
  <w:style w:type="character" w:customStyle="1" w:styleId="71">
    <w:name w:val="正文文本首行缩进 2 字符"/>
    <w:basedOn w:val="51"/>
    <w:link w:val="2"/>
    <w:semiHidden/>
    <w:qFormat/>
    <w:uiPriority w:val="99"/>
    <w:rPr>
      <w:rFonts w:asciiTheme="minorHAnsi" w:hAnsiTheme="minorHAnsi" w:eastAsiaTheme="minorEastAsia" w:cstheme="minorBidi"/>
      <w:kern w:val="2"/>
      <w:sz w:val="21"/>
      <w:szCs w:val="22"/>
    </w:rPr>
  </w:style>
  <w:style w:type="character" w:customStyle="1" w:styleId="72">
    <w:name w:val="批注主题 字符"/>
    <w:basedOn w:val="65"/>
    <w:link w:val="31"/>
    <w:semiHidden/>
    <w:qFormat/>
    <w:uiPriority w:val="99"/>
    <w:rPr>
      <w:rFonts w:asciiTheme="minorHAnsi" w:hAnsiTheme="minorHAnsi" w:eastAsiaTheme="minorEastAsia" w:cstheme="minorBidi"/>
      <w:b/>
      <w:bCs/>
      <w:kern w:val="2"/>
      <w:sz w:val="21"/>
      <w:szCs w:val="22"/>
    </w:rPr>
  </w:style>
  <w:style w:type="paragraph" w:customStyle="1" w:styleId="73">
    <w:name w:val="样式 样式 样式 样式 小四 左 首行缩进:  2 字符 + 首行缩进:  2 字符 Char + 右  0 字符1 + 首行缩...3"/>
    <w:basedOn w:val="1"/>
    <w:qFormat/>
    <w:uiPriority w:val="0"/>
    <w:pPr>
      <w:adjustRightInd w:val="0"/>
      <w:spacing w:line="360" w:lineRule="auto"/>
      <w:ind w:firstLine="200" w:firstLineChars="200"/>
      <w:jc w:val="left"/>
      <w:textAlignment w:val="baseline"/>
    </w:pPr>
    <w:rPr>
      <w:rFonts w:ascii="Times New Roman" w:hAnsi="Times New Roman" w:eastAsia="宋体" w:cs="宋体"/>
      <w:sz w:val="24"/>
      <w:szCs w:val="20"/>
    </w:rPr>
  </w:style>
  <w:style w:type="paragraph" w:customStyle="1" w:styleId="74">
    <w:name w:val="表格文字"/>
    <w:basedOn w:val="1"/>
    <w:qFormat/>
    <w:uiPriority w:val="0"/>
    <w:pPr>
      <w:adjustRightInd w:val="0"/>
      <w:snapToGrid w:val="0"/>
      <w:jc w:val="center"/>
    </w:pPr>
    <w:rPr>
      <w:rFonts w:ascii="仿宋_GB2312" w:hAnsi="Arial Black" w:eastAsia="仿宋_GB2312"/>
      <w:kern w:val="44"/>
      <w:sz w:val="24"/>
      <w:szCs w:val="20"/>
    </w:rPr>
  </w:style>
  <w:style w:type="paragraph" w:customStyle="1" w:styleId="75">
    <w:name w:val="CJ表格表头"/>
    <w:basedOn w:val="1"/>
    <w:next w:val="1"/>
    <w:qFormat/>
    <w:uiPriority w:val="0"/>
    <w:pPr>
      <w:jc w:val="center"/>
    </w:pPr>
    <w:rPr>
      <w:b/>
      <w:color w:val="000000"/>
      <w:szCs w:val="20"/>
    </w:rPr>
  </w:style>
  <w:style w:type="paragraph" w:customStyle="1" w:styleId="76">
    <w:name w:val="CJ表格内容"/>
    <w:basedOn w:val="1"/>
    <w:qFormat/>
    <w:uiPriority w:val="0"/>
    <w:pPr>
      <w:jc w:val="center"/>
    </w:pPr>
    <w:rPr>
      <w:color w:val="000000"/>
      <w:szCs w:val="20"/>
    </w:rPr>
  </w:style>
  <w:style w:type="paragraph" w:customStyle="1" w:styleId="77">
    <w:name w:val="表图"/>
    <w:basedOn w:val="1"/>
    <w:next w:val="1"/>
    <w:qFormat/>
    <w:uiPriority w:val="0"/>
    <w:pPr>
      <w:widowControl/>
      <w:jc w:val="center"/>
    </w:pPr>
    <w:rPr>
      <w:rFonts w:eastAsia="仿宋_GB2312"/>
      <w:kern w:val="0"/>
      <w:sz w:val="24"/>
      <w:szCs w:val="20"/>
    </w:rPr>
  </w:style>
  <w:style w:type="character" w:customStyle="1" w:styleId="78">
    <w:name w:val="NormalCharacter"/>
    <w:qFormat/>
    <w:uiPriority w:val="0"/>
    <w:rPr>
      <w:kern w:val="2"/>
      <w:sz w:val="21"/>
      <w:szCs w:val="24"/>
      <w:lang w:val="en-US" w:eastAsia="zh-CN" w:bidi="ar-SA"/>
    </w:rPr>
  </w:style>
  <w:style w:type="paragraph" w:customStyle="1" w:styleId="79">
    <w:name w:val="表段1"/>
    <w:basedOn w:val="1"/>
    <w:qFormat/>
    <w:uiPriority w:val="0"/>
    <w:pPr>
      <w:adjustRightInd w:val="0"/>
      <w:snapToGrid w:val="0"/>
      <w:spacing w:line="360" w:lineRule="auto"/>
      <w:ind w:firstLine="200" w:firstLineChars="200"/>
    </w:pPr>
    <w:rPr>
      <w:sz w:val="24"/>
    </w:rPr>
  </w:style>
  <w:style w:type="paragraph" w:customStyle="1" w:styleId="80">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81">
    <w:name w:val="font31"/>
    <w:basedOn w:val="35"/>
    <w:qFormat/>
    <w:uiPriority w:val="0"/>
    <w:rPr>
      <w:rFonts w:hint="eastAsia" w:ascii="宋体" w:hAnsi="宋体" w:eastAsia="宋体" w:cs="宋体"/>
      <w:color w:val="000000"/>
      <w:sz w:val="24"/>
      <w:szCs w:val="24"/>
      <w:u w:val="none"/>
      <w:vertAlign w:val="superscript"/>
    </w:rPr>
  </w:style>
  <w:style w:type="character" w:customStyle="1" w:styleId="82">
    <w:name w:val="font01"/>
    <w:basedOn w:val="35"/>
    <w:qFormat/>
    <w:uiPriority w:val="0"/>
    <w:rPr>
      <w:rFonts w:hint="eastAsia" w:ascii="宋体" w:hAnsi="宋体" w:eastAsia="宋体" w:cs="宋体"/>
      <w:color w:val="000000"/>
      <w:sz w:val="22"/>
      <w:szCs w:val="22"/>
      <w:u w:val="none"/>
    </w:rPr>
  </w:style>
  <w:style w:type="paragraph" w:customStyle="1" w:styleId="83">
    <w:name w:val="Other|1"/>
    <w:basedOn w:val="1"/>
    <w:qFormat/>
    <w:uiPriority w:val="0"/>
    <w:pPr>
      <w:widowControl w:val="0"/>
      <w:shd w:val="clear" w:color="auto" w:fill="auto"/>
      <w:jc w:val="center"/>
    </w:pPr>
    <w:rPr>
      <w:rFonts w:ascii="宋体" w:hAnsi="宋体" w:eastAsia="宋体" w:cs="宋体"/>
      <w:sz w:val="22"/>
      <w:szCs w:val="22"/>
      <w:u w:val="none"/>
      <w:shd w:val="clear" w:color="auto" w:fill="auto"/>
      <w:lang w:val="zh-CN" w:eastAsia="zh-CN" w:bidi="zh-CN"/>
    </w:rPr>
  </w:style>
  <w:style w:type="paragraph" w:customStyle="1" w:styleId="84">
    <w:name w:val="Default"/>
    <w:basedOn w:val="85"/>
    <w:next w:val="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纯文本1"/>
    <w:basedOn w:val="1"/>
    <w:next w:val="1"/>
    <w:qFormat/>
    <w:uiPriority w:val="0"/>
    <w:pPr>
      <w:widowControl w:val="0"/>
      <w:autoSpaceDE w:val="0"/>
      <w:autoSpaceDN w:val="0"/>
      <w:snapToGrid/>
      <w:spacing w:after="0" w:line="520" w:lineRule="exact"/>
      <w:jc w:val="both"/>
      <w:textAlignment w:val="baseline"/>
    </w:pPr>
    <w:rPr>
      <w:rFonts w:ascii="宋体" w:hAnsi="Times New Roman" w:eastAsia="宋体" w:cs="Times New Roman"/>
      <w:kern w:val="2"/>
      <w:sz w:val="24"/>
      <w:szCs w:val="20"/>
    </w:rPr>
  </w:style>
  <w:style w:type="paragraph" w:customStyle="1" w:styleId="86">
    <w:name w:val="大表格内"/>
    <w:basedOn w:val="1"/>
    <w:qFormat/>
    <w:uiPriority w:val="0"/>
    <w:pPr>
      <w:spacing w:line="360" w:lineRule="auto"/>
      <w:ind w:firstLine="480" w:firstLineChars="200"/>
    </w:pPr>
    <w:rPr>
      <w:kern w:val="24"/>
      <w:szCs w:val="20"/>
    </w:rPr>
  </w:style>
  <w:style w:type="paragraph" w:customStyle="1" w:styleId="87">
    <w:name w:val="表格内文字"/>
    <w:basedOn w:val="1"/>
    <w:qFormat/>
    <w:uiPriority w:val="0"/>
    <w:pPr>
      <w:widowControl/>
      <w:spacing w:line="240" w:lineRule="auto"/>
      <w:ind w:firstLine="0" w:firstLineChars="0"/>
      <w:jc w:val="center"/>
    </w:pPr>
    <w:rPr>
      <w:sz w:val="21"/>
      <w:szCs w:val="21"/>
    </w:rPr>
  </w:style>
  <w:style w:type="paragraph" w:customStyle="1" w:styleId="88">
    <w:name w:val=" Char12"/>
    <w:basedOn w:val="1"/>
    <w:qFormat/>
    <w:uiPriority w:val="0"/>
    <w:pPr>
      <w:spacing w:line="360" w:lineRule="auto"/>
      <w:ind w:firstLine="200" w:firstLineChars="200"/>
    </w:pPr>
    <w:rPr>
      <w:rFonts w:ascii="宋体" w:hAnsi="宋体" w:cs="宋体"/>
    </w:rPr>
  </w:style>
  <w:style w:type="paragraph" w:customStyle="1" w:styleId="89">
    <w:name w:val="样式1"/>
    <w:basedOn w:val="26"/>
    <w:next w:val="1"/>
    <w:qFormat/>
    <w:uiPriority w:val="0"/>
    <w:pPr>
      <w:snapToGrid w:val="0"/>
      <w:jc w:val="center"/>
    </w:pPr>
    <w:rPr>
      <w:rFonts w:hint="eastAsia" w:ascii="宋体"/>
      <w:sz w:val="24"/>
    </w:rPr>
  </w:style>
  <w:style w:type="character" w:customStyle="1" w:styleId="90">
    <w:name w:val="ql-author-13781750"/>
    <w:qFormat/>
    <w:uiPriority w:val="0"/>
    <w:rPr>
      <w:rFonts w:hint="default"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4137</Words>
  <Characters>5014</Characters>
  <Lines>231</Lines>
  <Paragraphs>65</Paragraphs>
  <TotalTime>33</TotalTime>
  <ScaleCrop>false</ScaleCrop>
  <LinksUpToDate>false</LinksUpToDate>
  <CharactersWithSpaces>5218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苑仁盟∝</cp:lastModifiedBy>
  <cp:lastPrinted>2022-06-18T07:59:00Z</cp:lastPrinted>
  <dcterms:modified xsi:type="dcterms:W3CDTF">2025-03-10T03:11:00Z</dcterms:modified>
  <cp:revision>1802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A764A04D715E49EDAFF7CD89ECE98605_13</vt:lpwstr>
  </property>
  <property fmtid="{D5CDD505-2E9C-101B-9397-08002B2CF9AE}" pid="4" name="KSOTemplateDocerSaveRecord">
    <vt:lpwstr>eyJoZGlkIjoiY2NkOWE2ZDcxMWU0YTU1YmVmNTllYWI5ZDAzNThlYmMiLCJ1c2VySWQiOiIyNjY3MzY5NTMifQ==</vt:lpwstr>
  </property>
</Properties>
</file>